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8E972" w14:textId="77777777" w:rsidR="00316D09" w:rsidRPr="00B2599A" w:rsidRDefault="00316D09" w:rsidP="00F97ADE">
      <w:pPr>
        <w:tabs>
          <w:tab w:val="left" w:pos="284"/>
          <w:tab w:val="left" w:pos="567"/>
          <w:tab w:val="left" w:pos="851"/>
        </w:tabs>
        <w:spacing w:line="276" w:lineRule="auto"/>
        <w:ind w:firstLine="284"/>
        <w:jc w:val="both"/>
        <w:rPr>
          <w:rFonts w:asciiTheme="minorHAnsi" w:eastAsiaTheme="minorEastAsia" w:hAnsiTheme="minorHAnsi" w:cs="Calibri"/>
          <w:color w:val="92D050"/>
          <w:szCs w:val="20"/>
        </w:rPr>
      </w:pPr>
    </w:p>
    <w:p w14:paraId="0C37D0B4" w14:textId="77777777" w:rsidR="00AF49DD" w:rsidRPr="00B2599A" w:rsidRDefault="00AF49DD" w:rsidP="00AF49DD">
      <w:pPr>
        <w:pStyle w:val="PODNASLOV"/>
        <w:spacing w:after="0"/>
        <w:ind w:left="0" w:firstLine="0"/>
        <w:jc w:val="both"/>
        <w:rPr>
          <w:rFonts w:asciiTheme="minorHAnsi" w:hAnsiTheme="minorHAnsi" w:cs="Arial"/>
          <w:b w:val="0"/>
          <w:caps w:val="0"/>
          <w:color w:val="auto"/>
          <w:sz w:val="20"/>
          <w:szCs w:val="20"/>
          <w:u w:val="none"/>
        </w:rPr>
      </w:pPr>
    </w:p>
    <w:p w14:paraId="462EF262" w14:textId="77777777" w:rsidR="00243D66" w:rsidRPr="00B2599A" w:rsidRDefault="00243D66" w:rsidP="00243D66">
      <w:pPr>
        <w:pStyle w:val="PODNASLOV"/>
        <w:spacing w:after="0" w:line="276" w:lineRule="auto"/>
        <w:ind w:left="0" w:firstLine="0"/>
        <w:jc w:val="center"/>
        <w:rPr>
          <w:rFonts w:asciiTheme="minorHAnsi" w:hAnsiTheme="minorHAnsi"/>
          <w:color w:val="auto"/>
          <w:sz w:val="20"/>
          <w:szCs w:val="20"/>
          <w:u w:val="none"/>
        </w:rPr>
      </w:pPr>
      <w:r w:rsidRPr="00B2599A">
        <w:rPr>
          <w:rFonts w:asciiTheme="minorHAnsi" w:hAnsiTheme="minorHAnsi"/>
          <w:color w:val="auto"/>
          <w:sz w:val="20"/>
          <w:szCs w:val="20"/>
          <w:u w:val="none"/>
        </w:rPr>
        <w:t xml:space="preserve">IZJAVA O SKLADNOSTI PONUJENEGA PREDMETA JAVNEGA NAROČILA </w:t>
      </w:r>
    </w:p>
    <w:p w14:paraId="7EC06910" w14:textId="77777777" w:rsidR="00243D66" w:rsidRPr="00B2599A" w:rsidRDefault="00243D66" w:rsidP="00243D66">
      <w:pPr>
        <w:pStyle w:val="PODNASLOV"/>
        <w:spacing w:after="0" w:line="276" w:lineRule="auto"/>
        <w:ind w:left="0" w:firstLine="0"/>
        <w:jc w:val="center"/>
        <w:rPr>
          <w:rFonts w:asciiTheme="minorHAnsi" w:hAnsiTheme="minorHAnsi"/>
          <w:color w:val="auto"/>
          <w:sz w:val="20"/>
          <w:szCs w:val="20"/>
          <w:u w:val="none"/>
        </w:rPr>
      </w:pPr>
      <w:r w:rsidRPr="00B2599A">
        <w:rPr>
          <w:rFonts w:asciiTheme="minorHAnsi" w:hAnsiTheme="minorHAnsi"/>
          <w:color w:val="auto"/>
          <w:sz w:val="20"/>
          <w:szCs w:val="20"/>
          <w:u w:val="none"/>
        </w:rPr>
        <w:t>Z UREDBO O ZELENEM JAVNEM NAROČANJU</w:t>
      </w:r>
    </w:p>
    <w:p w14:paraId="43FF8BB4" w14:textId="12FB793B" w:rsidR="00F97ADE" w:rsidRPr="00B2599A" w:rsidRDefault="00F97ADE" w:rsidP="00F97ADE">
      <w:pPr>
        <w:pStyle w:val="PODNASLOV"/>
        <w:spacing w:after="0" w:line="276" w:lineRule="auto"/>
        <w:jc w:val="both"/>
        <w:rPr>
          <w:rFonts w:asciiTheme="minorHAnsi" w:hAnsiTheme="minorHAnsi" w:cs="Calibri"/>
          <w:sz w:val="20"/>
          <w:szCs w:val="20"/>
        </w:rPr>
      </w:pPr>
    </w:p>
    <w:p w14:paraId="5466866D" w14:textId="2D23D659" w:rsidR="00F97ADE" w:rsidRPr="00B2599A" w:rsidRDefault="00F97ADE" w:rsidP="00F97ADE">
      <w:pPr>
        <w:spacing w:line="276" w:lineRule="auto"/>
        <w:jc w:val="both"/>
        <w:rPr>
          <w:rFonts w:asciiTheme="minorHAnsi" w:eastAsiaTheme="minorEastAsia" w:hAnsiTheme="minorHAnsi" w:cs="Calibri"/>
          <w:color w:val="000000"/>
          <w:szCs w:val="20"/>
          <w:lang w:eastAsia="ja-JP"/>
        </w:rPr>
      </w:pPr>
    </w:p>
    <w:p w14:paraId="5949E194" w14:textId="4F322006"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podpisom te izjave potrjujemo, da smo seznanjeni določbami Uredbe o zelenem javnem naročanju (Uradni list RS, št. 51/17, 64/19, 121/21 in 132/23) in da bomo pri izvajanju pogodbe o izvedbi javnega naročila, upoštevali zahteve, navedene v nadaljevanju.</w:t>
      </w:r>
      <w:r w:rsidR="00526538">
        <w:rPr>
          <w:rFonts w:asciiTheme="minorHAnsi" w:eastAsiaTheme="minorEastAsia" w:hAnsiTheme="minorHAnsi" w:cs="Calibri"/>
          <w:color w:val="000000"/>
          <w:szCs w:val="20"/>
          <w:lang w:eastAsia="ja-JP"/>
        </w:rPr>
        <w:t xml:space="preserve"> </w:t>
      </w:r>
    </w:p>
    <w:p w14:paraId="60E3FFA3" w14:textId="273996F3" w:rsidR="00F97ADE" w:rsidRPr="00B2599A" w:rsidRDefault="00F97ADE" w:rsidP="00F97ADE">
      <w:pPr>
        <w:spacing w:line="276" w:lineRule="auto"/>
        <w:jc w:val="both"/>
        <w:rPr>
          <w:rFonts w:asciiTheme="minorHAnsi" w:eastAsiaTheme="minorEastAsia" w:hAnsiTheme="minorHAnsi" w:cs="Calibri"/>
          <w:color w:val="000000"/>
          <w:szCs w:val="20"/>
          <w:lang w:eastAsia="ja-JP"/>
        </w:rPr>
      </w:pPr>
    </w:p>
    <w:p w14:paraId="186440C0" w14:textId="1DA1DDFA" w:rsidR="009B1152" w:rsidRPr="00B2599A" w:rsidRDefault="009B1152" w:rsidP="009B1152">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OKOLJSKE ZAHTEVE ZA </w:t>
      </w:r>
      <w:r w:rsidR="00717F44" w:rsidRPr="00B2599A">
        <w:rPr>
          <w:rFonts w:asciiTheme="minorHAnsi" w:eastAsiaTheme="minorEastAsia" w:hAnsiTheme="minorHAnsi" w:cs="Calibri"/>
          <w:b/>
          <w:bCs/>
          <w:color w:val="008080"/>
          <w:szCs w:val="20"/>
          <w:u w:val="single"/>
          <w:lang w:eastAsia="ja-JP"/>
        </w:rPr>
        <w:t xml:space="preserve">NOTRANJA </w:t>
      </w:r>
      <w:r w:rsidRPr="00B2599A">
        <w:rPr>
          <w:rFonts w:asciiTheme="minorHAnsi" w:eastAsiaTheme="minorEastAsia" w:hAnsiTheme="minorHAnsi" w:cs="Calibri"/>
          <w:b/>
          <w:bCs/>
          <w:color w:val="008080"/>
          <w:szCs w:val="20"/>
          <w:u w:val="single"/>
          <w:lang w:eastAsia="ja-JP"/>
        </w:rPr>
        <w:t>VRATA</w:t>
      </w:r>
    </w:p>
    <w:p w14:paraId="6EF2CC58" w14:textId="5D94A421" w:rsidR="009B1152" w:rsidRPr="00B2599A" w:rsidRDefault="009B1152" w:rsidP="009B1152">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Les in materiali na njegovi osnovi morajo izvirati iz zakonitih virov. </w:t>
      </w:r>
    </w:p>
    <w:p w14:paraId="6900BD4E"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26FF5DE4" w14:textId="2317A3F8"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2DC1B1B8" w14:textId="7EE3958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oziroma material, iz katerega bo proizvod izdelan, znak za okolje tipa I, iz katerega izhaja, da blago izpolnjuje zahteve, ali </w:t>
      </w:r>
    </w:p>
    <w:p w14:paraId="7ACBBB07" w14:textId="682A6762"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FSC3 ali PEFC4 za proizvod zadnjega v skrbniški verigi lesa ali – dovoljenje FLEGT5 če les izhaja iz države, ki je podpisala prostovoljni sporazum o partnerstvu z EU, ali </w:t>
      </w:r>
    </w:p>
    <w:p w14:paraId="1729453C" w14:textId="6E23890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50E2CBCF" w14:textId="77777777" w:rsidR="009B1152" w:rsidRPr="00B2599A" w:rsidRDefault="009B1152" w:rsidP="009B1152">
      <w:pPr>
        <w:spacing w:line="276" w:lineRule="auto"/>
        <w:ind w:left="360"/>
        <w:jc w:val="both"/>
        <w:rPr>
          <w:rFonts w:asciiTheme="minorHAnsi" w:eastAsiaTheme="minorEastAsia" w:hAnsiTheme="minorHAnsi" w:cs="Calibri"/>
          <w:color w:val="000000"/>
          <w:szCs w:val="20"/>
          <w:lang w:eastAsia="ja-JP"/>
        </w:rPr>
      </w:pPr>
    </w:p>
    <w:p w14:paraId="2FE6CD98" w14:textId="77777777" w:rsidR="009B1152" w:rsidRPr="00B2599A" w:rsidRDefault="009B1152" w:rsidP="009B1152">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Les in materiali na njegovi osnovi morajo izvirati iz trajnostno pridelanih virov. </w:t>
      </w:r>
    </w:p>
    <w:p w14:paraId="1E9DB5A6"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510932C6" w14:textId="7A7071A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68EDB131" w14:textId="7E002581"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1B387C9" w14:textId="65B7F90F"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FSC ali PEFC zadnjega v skrbniški verigi lesa, ali </w:t>
      </w:r>
    </w:p>
    <w:p w14:paraId="5F6CDB78" w14:textId="25B9913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ustrezno dokazilo, iz katerega izhaja, da so zahteve izpolnjene; </w:t>
      </w:r>
    </w:p>
    <w:p w14:paraId="6E2C864D" w14:textId="77777777" w:rsidR="009B1152" w:rsidRPr="00B2599A" w:rsidRDefault="009B1152" w:rsidP="009B1152">
      <w:pPr>
        <w:pStyle w:val="Odstavekseznama"/>
        <w:spacing w:line="276" w:lineRule="auto"/>
        <w:jc w:val="both"/>
        <w:rPr>
          <w:rFonts w:asciiTheme="minorHAnsi" w:eastAsiaTheme="minorEastAsia" w:hAnsiTheme="minorHAnsi" w:cs="Calibri"/>
          <w:color w:val="000000"/>
          <w:szCs w:val="20"/>
          <w:lang w:eastAsia="ja-JP"/>
        </w:rPr>
      </w:pPr>
    </w:p>
    <w:p w14:paraId="6572E702" w14:textId="3D29248B"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Ponudniki lesa, ki niso certificirani, navedejo količine in poreklo lesa, ki se uporablja v proizvodnji, skupaj z izjavo o njihovi zakonitost.</w:t>
      </w:r>
    </w:p>
    <w:p w14:paraId="08BD3AA3"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13C7DA2F" w14:textId="77777777" w:rsidR="009B1152" w:rsidRPr="00B2599A" w:rsidRDefault="009B1152" w:rsidP="009B1152">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Površinsko premazovanje lesa, plastičnih in/ali kovinskih delov </w:t>
      </w:r>
    </w:p>
    <w:p w14:paraId="17D7347C"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Premazi za les ne smejo vsebovati aziridina in kromovih (VI) spojin ter več kot 130 g/l hlapnih organskih spojin (HOS). Plastični deli ne smejo vsebovati aziridina, kromovih (VI) spojin in več kot 5 % teže hlapnih organskih spojin (HOS), kovinski deli pa ne smejo vsebovati aziridina in kromovih (VI) spojin. </w:t>
      </w:r>
    </w:p>
    <w:p w14:paraId="3605439A"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02FF3A86"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 lesa ne sme biti razvrščen in označen z enim ali več stavki za nevarnost po Uredbi (ES) št. 1272/2008 : </w:t>
      </w:r>
    </w:p>
    <w:p w14:paraId="1474D669" w14:textId="6DC60099"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H331 (Strupeno pri vdihavanju), </w:t>
      </w:r>
    </w:p>
    <w:p w14:paraId="615248AC" w14:textId="2AA28C5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H311 (Strupeno v stiku s kožo), </w:t>
      </w:r>
    </w:p>
    <w:p w14:paraId="2CBAC6C0" w14:textId="4D470E5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H301 (Strupeno pri zaužitju), </w:t>
      </w:r>
    </w:p>
    <w:p w14:paraId="14678C8B" w14:textId="7ED65153"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H330 (Smrtno pri vdihavanju), </w:t>
      </w:r>
    </w:p>
    <w:p w14:paraId="63876D56" w14:textId="7724F3B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H310 (Smrtno v stiku s kožo), </w:t>
      </w:r>
    </w:p>
    <w:p w14:paraId="5D7A68F6" w14:textId="333267D7"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H300 (Smrtno pri zaužitju), </w:t>
      </w:r>
    </w:p>
    <w:p w14:paraId="3C1994B6" w14:textId="6855F3E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H351 (Sum povzročitve raka), </w:t>
      </w:r>
    </w:p>
    <w:p w14:paraId="3C6AE0CF" w14:textId="272ADD7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H334 (Lahko povzroči simptome alergije ali astme ali težave z dihanjem pri vdihavanju), – H350 (Lahko povzroči raka), </w:t>
      </w:r>
    </w:p>
    <w:p w14:paraId="6B3F451B" w14:textId="36F7AE70"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H340 (Lahko povzroči genske okvare), </w:t>
      </w:r>
    </w:p>
    <w:p w14:paraId="754B09D4" w14:textId="31F5582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H373 (Lahko škodi organom pri dolgotrajni ali ponavljajoči se izpostavljenosti) in H732 (Škodi organom pri dolgotrajni ali ponavljajoči se izpostavljenosti), </w:t>
      </w:r>
    </w:p>
    <w:p w14:paraId="5AC4EEF1" w14:textId="7DC8AC7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H350i (Lahko povzroči raka pri vdihavanju), </w:t>
      </w:r>
    </w:p>
    <w:p w14:paraId="500F872A" w14:textId="607855C1"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H400 (Zelo strupeno za vodne organizme), </w:t>
      </w:r>
    </w:p>
    <w:p w14:paraId="7EC13A82" w14:textId="30B1A3F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H411 (Strupeno za vodne organizme z dolgotrajnim učinkom), </w:t>
      </w:r>
    </w:p>
    <w:p w14:paraId="55EE8EC7" w14:textId="507093EA"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H412 (Škodljivo za vodne organizme, z dolgotrajnim učinkom), </w:t>
      </w:r>
    </w:p>
    <w:p w14:paraId="3BE84461" w14:textId="0B1359CF"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H410 (Zelo strupeno za vodne organizme, z dolgotrajnim učinkom), </w:t>
      </w:r>
    </w:p>
    <w:p w14:paraId="58942024" w14:textId="58D9DC0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H413 (Lahko ima dolgotrajne škodljive učinke na vodne organizme), </w:t>
      </w:r>
    </w:p>
    <w:p w14:paraId="45A1FC4A" w14:textId="6980772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H360F (Lahko škodi plodnosti), </w:t>
      </w:r>
    </w:p>
    <w:p w14:paraId="72587C58" w14:textId="6049CA0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H360D (Lahko škodi nerojenemu otroku), </w:t>
      </w:r>
    </w:p>
    <w:p w14:paraId="47A73786" w14:textId="619A7467"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H361f (Sum škodljivosti za plodnost), </w:t>
      </w:r>
    </w:p>
    <w:p w14:paraId="7509FDBF" w14:textId="3104EB1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H361d (Sum škodljivosti za nerojenega otroka), </w:t>
      </w:r>
    </w:p>
    <w:p w14:paraId="1B588213" w14:textId="306433A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H341 (Sum povzročitve genskih okvar), </w:t>
      </w:r>
    </w:p>
    <w:p w14:paraId="2D82C5C8" w14:textId="6E00C661"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H400 (Zelo strupeno za vodne organizme) in H410 (Zelo strupeno za vodne organizme, z dolgotrajnim učinkom), </w:t>
      </w:r>
    </w:p>
    <w:p w14:paraId="0CEA49F3" w14:textId="3366F583"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H411 (Strupeno za vodne organizme z dolgotrajnim učinkom), </w:t>
      </w:r>
    </w:p>
    <w:p w14:paraId="13239CE9" w14:textId="3D8DA05E"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H412 (Škodljivo za vodne organizme, z dolgotrajnim učinkom). </w:t>
      </w:r>
    </w:p>
    <w:p w14:paraId="584761DF"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45828FF0"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Premazom ne smejo biti dodani ftalati, ki so razvrščeni in označeni z enim ali več stavki za nevarnost po Uredbi (ES) št. 1272/2008: </w:t>
      </w:r>
    </w:p>
    <w:p w14:paraId="3CD8C18E" w14:textId="2877B120"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H360F (Lahko škodi plodnosti), </w:t>
      </w:r>
    </w:p>
    <w:p w14:paraId="6286367B" w14:textId="3095FC5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H360D (Lahko škodi nerojenemu otroku), </w:t>
      </w:r>
    </w:p>
    <w:p w14:paraId="51E4FAFA" w14:textId="14813917"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H361f (Sum škodljivosti za plodnost).</w:t>
      </w:r>
    </w:p>
    <w:p w14:paraId="587D310B"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169C411E"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31B12085" w14:textId="2B31ADD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7339557F" w14:textId="69ACE74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991D867" w14:textId="0690FB12"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seznam vseh snovi za površinsko obdelavo, ki so jih uporabili pri izdelavi pohištva, varnostni list in tehnično dokumentacijo proizvajalca, ali </w:t>
      </w:r>
    </w:p>
    <w:p w14:paraId="42148DFF" w14:textId="2F5AC73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296A58D"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58E4216F" w14:textId="664DCFA2" w:rsidR="009B1152" w:rsidRPr="00B2599A" w:rsidRDefault="009B1152" w:rsidP="00162F44">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Emisija oz. koncentracija formaldehida iz lesnih kompozitov ali plošč ne sme biti višja od 8 mg/100 g suhe snovi (določena po ekstrakcijski metodi, znani tudi kot perforator metoda – SIST EN 120) ali 3,5 mg/h*m2 (določena po plinski metodi – SIST EN 717-2) ali 0,1 ppm (določena po metodi komore – SIST EN 717-1).</w:t>
      </w:r>
    </w:p>
    <w:p w14:paraId="575E46DA"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5F393CA6" w14:textId="7AFD8B98"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31D89BA6" w14:textId="3AB9819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DD805FF" w14:textId="1EF8284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neodvisne akreditirane ustanove, ali </w:t>
      </w:r>
    </w:p>
    <w:p w14:paraId="436AE78C" w14:textId="4676BBC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ustrezno dokazilo, iz katerega izhaja, da so zahteve izpolnjene. </w:t>
      </w:r>
    </w:p>
    <w:p w14:paraId="399EBE52" w14:textId="7741AC84"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Dokazila o ustreznosti lesnih kompozitov ne smejo biti starejša od treh mesecev.</w:t>
      </w:r>
    </w:p>
    <w:p w14:paraId="4B68A6CE"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69DF516B" w14:textId="77777777" w:rsidR="00D207B7" w:rsidRPr="00B2599A" w:rsidRDefault="00D207B7" w:rsidP="00D207B7">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Adhezivi ali lepila, ki se uporabljajo pri proizvodnji stavbnega pohištva, ne smejo vsebovati več kot 10 % hlapnih organskih spojin.</w:t>
      </w:r>
    </w:p>
    <w:p w14:paraId="7DC1F7EC" w14:textId="77777777" w:rsidR="00D207B7" w:rsidRPr="00B2599A" w:rsidRDefault="00D207B7" w:rsidP="00D207B7">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05864B85" w14:textId="47F21E5D"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izjavo, da bo pri dobavi blaga izpolnil zahtevo, ali</w:t>
      </w:r>
    </w:p>
    <w:p w14:paraId="0C0BDC86" w14:textId="77777777"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E17C4CA" w14:textId="0BA7EDCD"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seznam vseh adhezivov ali lepil, ki so bili uporabljeni pri proizvodnji pohištva, varnostni list proizvoda ali enakovreden dokument in tehnično dokumentacijo proizvajalca, v kateri je navedena količina hlapnih organskih spojin, ki dokazujejo skladnost z navedenimi merili, ali </w:t>
      </w:r>
    </w:p>
    <w:p w14:paraId="30E5577E" w14:textId="62405234"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D3B6003" w14:textId="77777777" w:rsidR="00D207B7" w:rsidRPr="00B2599A" w:rsidRDefault="00D207B7" w:rsidP="009B1152">
      <w:pPr>
        <w:spacing w:line="276" w:lineRule="auto"/>
        <w:jc w:val="both"/>
        <w:rPr>
          <w:rFonts w:asciiTheme="minorHAnsi" w:eastAsiaTheme="minorEastAsia" w:hAnsiTheme="minorHAnsi" w:cs="Calibri"/>
          <w:color w:val="000000"/>
          <w:szCs w:val="20"/>
          <w:lang w:eastAsia="ja-JP"/>
        </w:rPr>
      </w:pPr>
    </w:p>
    <w:p w14:paraId="5D942BD9" w14:textId="77777777" w:rsidR="00243D66" w:rsidRPr="00B2599A" w:rsidRDefault="00243D66" w:rsidP="00243D66">
      <w:pPr>
        <w:spacing w:line="276" w:lineRule="auto"/>
        <w:jc w:val="both"/>
        <w:rPr>
          <w:rFonts w:asciiTheme="minorHAnsi" w:eastAsiaTheme="minorEastAsia" w:hAnsiTheme="minorHAnsi" w:cs="Calibri"/>
          <w:color w:val="000000"/>
          <w:szCs w:val="20"/>
          <w:u w:val="single"/>
          <w:lang w:eastAsia="ja-JP"/>
        </w:rPr>
      </w:pPr>
      <w:r w:rsidRPr="00B2599A">
        <w:rPr>
          <w:rFonts w:asciiTheme="minorHAnsi" w:eastAsiaTheme="minorEastAsia" w:hAnsiTheme="minorHAnsi" w:cs="Calibri"/>
          <w:b/>
          <w:bCs/>
          <w:color w:val="008080"/>
          <w:szCs w:val="20"/>
          <w:u w:val="single"/>
          <w:lang w:eastAsia="ja-JP"/>
        </w:rPr>
        <w:t xml:space="preserve">ZAHTEVE ZA SVETLOBNE VIRE IN SVETILKE TER RAZSVETLJAVO V NOTRANJIH PROSTORIH  </w:t>
      </w:r>
    </w:p>
    <w:p w14:paraId="287103BF"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w:t>
      </w:r>
      <w:r w:rsidRPr="00B2599A">
        <w:rPr>
          <w:rFonts w:asciiTheme="minorHAnsi" w:eastAsiaTheme="minorEastAsia" w:hAnsiTheme="minorHAnsi" w:cs="Calibri"/>
          <w:b/>
          <w:bCs/>
          <w:color w:val="000000"/>
          <w:szCs w:val="20"/>
          <w:lang w:eastAsia="ja-JP"/>
        </w:rPr>
        <w:tab/>
        <w:t>Svetilke, dobavljene v okviru naročila, morajo omogočati uporabo svetlobnih virov, uvrščenih v najvišji energijski razred, dostopen na trgu (najvišji energijski razred določi naročnik v skladu z metodologijo glede opredelitve zahtevanih energijskih razredov), kot je določeno v Prilogi II k Delegirani uredbi Komisije (EU) 2019/2015, kakor je bila spremenjena z Delegirano uredbo Komisije (EU) 2021/340.</w:t>
      </w:r>
    </w:p>
    <w:p w14:paraId="12A96F1C"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09184BE8"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424C8BE" w14:textId="7D3856EB"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izpolnjene zahteve, ali</w:t>
      </w:r>
    </w:p>
    <w:p w14:paraId="1235E31D" w14:textId="372B52E8"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drugo ustrezno dokazilo, iz katerega izhaja, da so izpolnjene zahteve</w:t>
      </w:r>
    </w:p>
    <w:p w14:paraId="38568AF4"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6B1D8E0D"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Metodologija glede opredelitve zahtevanih energijskih razredov:</w:t>
      </w:r>
    </w:p>
    <w:p w14:paraId="67DF79A3"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Naročniki naj se sklicujejo na najboljši energijski razred EU, ki je na voljo v času javnega naročila in ki vključuje najmanj 25 registriranih modelov svetlobnih virov v evropski podatkovni zbirki za označevanje energijske učinkovitosti (EPREL). V primeru nedelovanja baze EPREL se naročnikom priporoča, da preverijo trg glede najvišjega energijskega razreda, dostopnega na trgu, ob upoštevanju načela zagotavljanja konkurence med ponudniki.</w:t>
      </w:r>
    </w:p>
    <w:p w14:paraId="034A583B"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56278621"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2.</w:t>
      </w:r>
      <w:r w:rsidRPr="00B2599A">
        <w:rPr>
          <w:rFonts w:asciiTheme="minorHAnsi" w:eastAsiaTheme="minorEastAsia" w:hAnsiTheme="minorHAnsi" w:cs="Calibri"/>
          <w:b/>
          <w:bCs/>
          <w:color w:val="000000"/>
          <w:szCs w:val="20"/>
          <w:lang w:eastAsia="ja-JP"/>
        </w:rPr>
        <w:tab/>
        <w:t>Svetilka mora omogočati zamenjavo posameznih delov v skladu s 4. členom Uredbe Komisije (EU) 2019/2020, kakor je bila spremenjena z Uredbo Komisije (EU) 2021/341</w:t>
      </w:r>
    </w:p>
    <w:p w14:paraId="455190C2"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652B3B1D"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687C32B" w14:textId="797D49DC"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izpolnjene zahteve, ali</w:t>
      </w:r>
    </w:p>
    <w:p w14:paraId="61571738" w14:textId="23852CA7"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drugo ustrezno dokazilo, iz katerega izhaja, da so izpolnjene zahteve.</w:t>
      </w:r>
    </w:p>
    <w:p w14:paraId="6522ADF0"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7E77ADEB" w14:textId="65CD7EE8" w:rsidR="00243D66" w:rsidRPr="00B2599A" w:rsidRDefault="00243D66" w:rsidP="00243D66">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Okoljske zahteve za namestitev razsvetljave v notranjih prostorih</w:t>
      </w:r>
    </w:p>
    <w:p w14:paraId="5ED6B9D5"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 Za nove ali obnovljene sisteme razsvetljave mora ponudnik predložiti:</w:t>
      </w:r>
    </w:p>
    <w:p w14:paraId="6EA41005" w14:textId="0B77CEB5"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razstavljanje svetilk;</w:t>
      </w:r>
    </w:p>
    <w:p w14:paraId="27078262" w14:textId="0AA3CFFA"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zamenjavo sijalk in navodila o tem, katere sijalke se lahko uporabljajo</w:t>
      </w:r>
    </w:p>
    <w:p w14:paraId="6621B919" w14:textId="29C1A100"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v svetilkah brez povečanja navedene gostote moči;</w:t>
      </w:r>
    </w:p>
    <w:p w14:paraId="36C6E992" w14:textId="2E99D9D4"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delovanje in vzdrževanje krmilnih sistemov za razsvetljavo;</w:t>
      </w:r>
    </w:p>
    <w:p w14:paraId="07FB58B0" w14:textId="2A50A755"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za senzorje za zaznavanje zasedenosti navodila za prilagajanje njihove občutljivosti in časovnega zamika in nasvete o tem, kako to najbolje opraviti, da se zadovoljijo potrebe uporabnika brez čezmernega povečanja porabe energije;</w:t>
      </w:r>
    </w:p>
    <w:p w14:paraId="508618D3" w14:textId="187F1942"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ponovno umerjanje in prilagajanje krmilnih sistemov, ki so povezani</w:t>
      </w:r>
    </w:p>
    <w:p w14:paraId="43733C08" w14:textId="06A61CAD"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dnevno svetlobo, na primer za upoštevanje sprememb ureditve prostora;</w:t>
      </w:r>
    </w:p>
    <w:p w14:paraId="36D2CF88" w14:textId="737D97DF"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za časovna stikala navodila za prilagajanje časov izključitve in nasvete o tem, kako to najbolje opraviti, da se zadovoljijo potrebe uporabnika brez čezmernega povečanja porabe energije.</w:t>
      </w:r>
    </w:p>
    <w:p w14:paraId="0BA515A6" w14:textId="77777777" w:rsidR="00243D66" w:rsidRPr="00B2599A" w:rsidRDefault="00243D66" w:rsidP="00AF49DD">
      <w:pPr>
        <w:spacing w:line="276" w:lineRule="auto"/>
        <w:jc w:val="both"/>
        <w:rPr>
          <w:rFonts w:asciiTheme="minorHAnsi" w:eastAsiaTheme="minorEastAsia" w:hAnsiTheme="minorHAnsi" w:cs="Calibri"/>
          <w:szCs w:val="20"/>
        </w:rPr>
      </w:pPr>
    </w:p>
    <w:p w14:paraId="12285552" w14:textId="502BA4B6" w:rsidR="008C31B4" w:rsidRPr="00B2599A" w:rsidRDefault="008C31B4" w:rsidP="008C31B4">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STRANIŠČA NA SPLAKOVANJE </w:t>
      </w:r>
      <w:r w:rsidR="00767FF4" w:rsidRPr="00B2599A">
        <w:rPr>
          <w:rFonts w:asciiTheme="minorHAnsi" w:eastAsiaTheme="minorEastAsia" w:hAnsiTheme="minorHAnsi" w:cs="Calibri"/>
          <w:b/>
          <w:bCs/>
          <w:color w:val="008080"/>
          <w:szCs w:val="20"/>
          <w:u w:val="single"/>
          <w:lang w:eastAsia="ja-JP"/>
        </w:rPr>
        <w:t>IN PISOARJU</w:t>
      </w:r>
    </w:p>
    <w:p w14:paraId="305DDB0B" w14:textId="77777777" w:rsidR="008C31B4" w:rsidRPr="00B2599A" w:rsidRDefault="008C31B4" w:rsidP="008C31B4">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Nakup opreme za stranišča na splakovanje z učinkovito rabo vode (za nove in prenovljene stavbe)</w:t>
      </w:r>
    </w:p>
    <w:p w14:paraId="3F887AF7"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1. Celotni nominalni volumen splakovanja opreme za stranišča na splakovanje, ko se da na trg, ne sme presegati 6,0 l/splakovanje, ne glede na tlak vode.  </w:t>
      </w:r>
    </w:p>
    <w:p w14:paraId="71E23A35" w14:textId="77777777" w:rsidR="008C31B4" w:rsidRPr="00B2599A" w:rsidRDefault="008C31B4" w:rsidP="008C31B4">
      <w:pPr>
        <w:spacing w:line="276" w:lineRule="auto"/>
        <w:jc w:val="both"/>
        <w:rPr>
          <w:rFonts w:asciiTheme="minorHAnsi" w:eastAsiaTheme="minorEastAsia" w:hAnsiTheme="minorHAnsi" w:cs="Calibri"/>
          <w:color w:val="000000"/>
          <w:szCs w:val="20"/>
          <w:u w:val="single"/>
          <w:lang w:eastAsia="ja-JP"/>
        </w:rPr>
      </w:pPr>
    </w:p>
    <w:p w14:paraId="0EDFF35A"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Ponudnik mora na zahtevo naročnik v fazi pregledovanja in ocenjevanja ponudbe ali v fazi izvajanja pogodbe o izvedbi javnega naročila predložiti:</w:t>
      </w:r>
    </w:p>
    <w:p w14:paraId="40876CFB" w14:textId="375C042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66CB63F" w14:textId="33DFBC3A"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997 ali enakovrednih standardov,2 ali </w:t>
      </w:r>
    </w:p>
    <w:p w14:paraId="3398594B" w14:textId="4D1E668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6A653E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5ECE36F"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2. Straniščni kompleti s celotnim volumnom splakovanja, ki presega 4,0 litra, in splakovalni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w:t>
      </w:r>
    </w:p>
    <w:p w14:paraId="4BDE0D8A"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p>
    <w:p w14:paraId="20BA3669"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Za opremo s senzorjem: Vsak krmilnik splakovanja s senzorjem mora onemogočati lažno sprožitev in zagotavljati, da se splakovanje izvede šele po dejanski uporabi izdelka.</w:t>
      </w:r>
    </w:p>
    <w:p w14:paraId="22C6145E"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240812CC"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4C5DBDF" w14:textId="128350C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1590E9F5" w14:textId="22AAA4B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997 ali enakovrednih standardov3 ali </w:t>
      </w:r>
    </w:p>
    <w:p w14:paraId="736C1DB7" w14:textId="7976B1D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kratek opis ukrepov, sprejetih pri oblikovanju izdelka, da se onemogoči lažna sprožitev in zagotovi izvedba splakovanja šele po dejanski uporabi izdelka, če ponudba vključuje izdelek, opremljen s krmilnikom splakovanja s senzorjem, ali </w:t>
      </w:r>
    </w:p>
    <w:p w14:paraId="15BCDAC9" w14:textId="187571E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9221AAD" w14:textId="673AE569"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C662786"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76074739"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3. Splakovalni sistemi so opremljeni s prilagoditveno napravo, ki monterju omogoča, da prilagodi volumen splakovanja ob upoštevanju lokalnih pogojev odtočnega sistema. Celotni volumen splakovanja po prilagoditvi v skladu z navodili za montažo ne sme presegati 6 l/splakovanje za opremo za stranišča na splakovanje ali 4 l/splakovanje, če straniščni komplet ni opremljen z napravo za varčevanje z vodo, zmanjšani volumen splakovanja po prilagoditvi pa v skladu z navodili za montažo ne sme presegati 3 l/splakovanje.</w:t>
      </w:r>
    </w:p>
    <w:p w14:paraId="1044462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2644F88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F0008A6" w14:textId="35FB8614"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F589075" w14:textId="578CF2D3"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3AAD5A3" w14:textId="71C3E6E7"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BD28EE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7C01E36"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4. 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p w14:paraId="5053DA9A"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BF62FBF"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E927824" w14:textId="1A9F96A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4180168" w14:textId="12371F2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preskusov,5 ki so bili izvedeni skladno z metodologijo, ki je opredeljena v Dodatku 1 k Sklepu Komisije (2013/641/EU) ali z enakovrednimi standardi, ali </w:t>
      </w:r>
    </w:p>
    <w:p w14:paraId="27FA9DDE" w14:textId="702D825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tehnično dokumentacijo proizvajalca, iz katere izhaja, da so zahteve izpolnjene ali  </w:t>
      </w:r>
    </w:p>
    <w:p w14:paraId="54871222" w14:textId="19BE139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5CCF7CF0"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1EF8F42F"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5. Splakovalni sistemi so skladni z zahtevami iz standardov EN iz preglednice 1. Zahteve za merjenje celotnega nominalnega in zmanjšanega volumna splakovanja iz standardov EN iz preglednice 1 so iz te okoljske zahteve izvzete.</w:t>
      </w:r>
    </w:p>
    <w:p w14:paraId="4FBC5F4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089F1297"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noProof/>
          <w:color w:val="000000"/>
          <w:szCs w:val="20"/>
          <w:lang w:eastAsia="ja-JP"/>
        </w:rPr>
        <w:drawing>
          <wp:inline distT="0" distB="0" distL="0" distR="0" wp14:anchorId="27E91584" wp14:editId="33EB3F92">
            <wp:extent cx="4105275" cy="1288865"/>
            <wp:effectExtent l="0" t="0" r="0" b="6985"/>
            <wp:docPr id="1476107302"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942721" name="Slika 1" descr="Slika, ki vsebuje besede besedilo, posnetek zaslona, pisava, vrstica&#10;&#10;Opis je samodejno ustvarjen"/>
                    <pic:cNvPicPr/>
                  </pic:nvPicPr>
                  <pic:blipFill>
                    <a:blip r:embed="rId8"/>
                    <a:stretch>
                      <a:fillRect/>
                    </a:stretch>
                  </pic:blipFill>
                  <pic:spPr>
                    <a:xfrm>
                      <a:off x="0" y="0"/>
                      <a:ext cx="4114917" cy="1291892"/>
                    </a:xfrm>
                    <a:prstGeom prst="rect">
                      <a:avLst/>
                    </a:prstGeom>
                  </pic:spPr>
                </pic:pic>
              </a:graphicData>
            </a:graphic>
          </wp:inline>
        </w:drawing>
      </w:r>
    </w:p>
    <w:p w14:paraId="5998D364"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56F2876E"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1427A94" w14:textId="5CBEB4B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E653DA8" w14:textId="1DA0886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997 ali enakovrednih standardov, poročilo o preskusu, ki kaže, da je splakovalni sistem izdelka skladen z zahtevami standardov EN, omenjenih zgoraj, ali enakovrednih standardov, ali </w:t>
      </w:r>
    </w:p>
    <w:p w14:paraId="6CFB3137" w14:textId="35499C09"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B9C0D5A" w14:textId="1113FB6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CB937FF" w14:textId="77777777" w:rsidR="008C31B4" w:rsidRPr="00B2599A" w:rsidRDefault="008C31B4" w:rsidP="008C31B4">
      <w:pPr>
        <w:pStyle w:val="Odstavekseznama"/>
        <w:spacing w:line="276" w:lineRule="auto"/>
        <w:jc w:val="both"/>
        <w:rPr>
          <w:rFonts w:asciiTheme="minorHAnsi" w:eastAsiaTheme="minorEastAsia" w:hAnsiTheme="minorHAnsi" w:cs="Calibri"/>
          <w:color w:val="000000"/>
          <w:szCs w:val="20"/>
          <w:lang w:eastAsia="ja-JP"/>
        </w:rPr>
      </w:pPr>
    </w:p>
    <w:p w14:paraId="58A606AE"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 Učinkovito splakovanje straniščnih kompletov mora biti skladno z zahtevami standarda EN 997.</w:t>
      </w:r>
    </w:p>
    <w:p w14:paraId="745B2144"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71828A9" w14:textId="67FC77A8"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4DCB815" w14:textId="7119011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učinkovito splakovanje izdelka skladno z zahtevami standarda EN 997 ali enakovrednih standardov, ali </w:t>
      </w:r>
    </w:p>
    <w:p w14:paraId="428ECB8E" w14:textId="7CB8438E"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B23DCD3" w14:textId="7CB1C6B7"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9DB8D7B"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6CF60DA"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7. 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p w14:paraId="3CC37BB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26ED4C2"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E4DACF" w14:textId="35C3BE2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6AB2A37" w14:textId="11709B8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2F7F52DA" w14:textId="6A87B183"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29A4AF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43BA4ED"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8. Opremo za stranišča na splakovanje se dobavi z naslednjimi informacijami v tiskani obliki (na embalaži ali v dokumentaciji, priloženi izdelku) in/ali elektronski obliki: </w:t>
      </w:r>
    </w:p>
    <w:p w14:paraId="6F32E9D8" w14:textId="1517437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w:t>
      </w:r>
      <w:r w:rsidRPr="00B2599A">
        <w:rPr>
          <w:rFonts w:asciiTheme="minorHAnsi" w:eastAsiaTheme="minorEastAsia" w:hAnsiTheme="minorHAnsi" w:cs="Calibri"/>
          <w:color w:val="000000"/>
          <w:szCs w:val="20"/>
          <w:lang w:eastAsia="ja-JP"/>
        </w:rPr>
        <w:lastRenderedPageBreak/>
        <w:t xml:space="preserve">polnjenja itn.), ter za straniščne školjke in splakovalne straniščne sisteme, ki se dajo na trg posebej, tudi s podatkom o tem, s katerimi izdelki tvorijo popolno delujočo celoto, ki je varčna z vodo; </w:t>
      </w:r>
    </w:p>
    <w:p w14:paraId="0F41E3D4" w14:textId="4DAA45B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napotki o tem, kako se lahko z racionalno uporabo čim bolj zmanjša vpliv na okolje, zlasti informacijami o ustrezni uporabi izdelka, da se čim bolj zmanjša poraba vode; </w:t>
      </w:r>
    </w:p>
    <w:p w14:paraId="6DCE0644" w14:textId="4CA0BA8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informacijami o celotnem, zmanjšanem in povprečnem volumnu splakovanja v l/splakovanje; </w:t>
      </w:r>
    </w:p>
    <w:p w14:paraId="13D35F22" w14:textId="75D1FEC0"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priporočili o pravilni uporabi in vzdrževanju izdelka, vključno s podatkom o tem, kateri nadomestni deli se lahko zamenjajo, podatkom o zamenjavi tesnil in drugih elementov, če izdelek pušča, z nasveti za čiščenje itn.; </w:t>
      </w:r>
    </w:p>
    <w:p w14:paraId="2EF55BB7" w14:textId="35732A7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informacijami o ustreznem odlaganju izrabljenega izdelka.</w:t>
      </w:r>
    </w:p>
    <w:p w14:paraId="15CC5672"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5B1D1A85"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68F489F" w14:textId="1C470FEE"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1E1A93E" w14:textId="03BF00C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zahteve izpolnjene, ali</w:t>
      </w:r>
    </w:p>
    <w:p w14:paraId="0926932F" w14:textId="183293C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2CDBA26" w14:textId="77777777" w:rsidR="00767FF4" w:rsidRPr="00B2599A" w:rsidRDefault="00767FF4">
      <w:pPr>
        <w:rPr>
          <w:rFonts w:asciiTheme="minorHAnsi" w:eastAsiaTheme="minorEastAsia" w:hAnsiTheme="minorHAnsi" w:cs="Calibri"/>
          <w:b/>
          <w:bCs/>
          <w:color w:val="008080"/>
          <w:szCs w:val="20"/>
          <w:u w:val="single"/>
          <w:lang w:eastAsia="ja-JP"/>
        </w:rPr>
      </w:pPr>
    </w:p>
    <w:p w14:paraId="683A0EE4" w14:textId="77777777" w:rsidR="00767FF4" w:rsidRPr="00B2599A" w:rsidRDefault="00767FF4" w:rsidP="00767FF4">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Nakup opreme za pisoarje z učinkovito rabo vode (za nove ali prenovljene stavbe)</w:t>
      </w:r>
    </w:p>
    <w:p w14:paraId="165A2B2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 Nominalni volumen splakovanja opreme za pisoarje na splakovanje, ko se da na trg, ne sme presegati dva l/splakovanje, ne glede na tlak vode.</w:t>
      </w:r>
    </w:p>
    <w:p w14:paraId="1C364758"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95BBC1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7F4B458C" w14:textId="408ADA92"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B7F67C" w14:textId="74CC807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13407 ali enakovrednih standardov, ali </w:t>
      </w:r>
    </w:p>
    <w:p w14:paraId="7D77B8CD" w14:textId="5FB38BC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4F994CB" w14:textId="31D1D5A4"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5CE278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0D05D82"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2. Pisoarni kompleti in splakovalni sistemi za pisoarje morajo biti opremljeni s krmilnikom splakovanja na zahtevo. Talni pisoarji s splakovalnim sistemom morajo imeti krmilnik splakovanja na zahtevo, ki pokriva največ 60 cm širine neprekinjene stene. Pisoarji morajo omogočati uporabo krmilnika splakovanja na zahtevo. Talni pisoarji brez splakovalnega sistema morajo imeti nameščen krmilnik splakovanja na zahtevo, ki pokriva največ 60 cm širine neprekinjene stene.</w:t>
      </w:r>
    </w:p>
    <w:p w14:paraId="04A025C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0ED656A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FC80FB3" w14:textId="6B0F03A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90F3299" w14:textId="76823AC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6714F8FD" w14:textId="684007A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AA0E0D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8DE9DA0"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3. Splakovalni sistemi so opremljeni s prilagoditveno napravo, ki monterju omogoča, da prilagodi volumen splakovanja ob upoštevanju lokalnih pogojev odtočnega sistema. Celotni volumen splakovanja po prilagoditvi v skladu z navodili za montažo ne sme presegati dva l/splakovanje.</w:t>
      </w:r>
    </w:p>
    <w:p w14:paraId="0F51F73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684D436"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0CE0B69" w14:textId="40BE25FF"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B989549" w14:textId="650F1B5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67A3D8B3" w14:textId="4D841E60"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3BD3A4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D724555"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lastRenderedPageBreak/>
        <w:t>4. Splakovalni sistemi so skladni z zahtevami iz standardov EN iz preglednice 2. Zahteve za merjenje nominalnega volumna splakovanja iz standardov EN iz preglednice 2 so izvzete iz te okoljske zahteve.</w:t>
      </w:r>
    </w:p>
    <w:p w14:paraId="03DAB1E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7E7FDE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Preglednica 2. Standardi EN za zahteve glede splakovalnega sistema pisoarja</w:t>
      </w:r>
    </w:p>
    <w:tbl>
      <w:tblPr>
        <w:tblStyle w:val="Tabelamrea"/>
        <w:tblW w:w="0" w:type="auto"/>
        <w:jc w:val="center"/>
        <w:tblLook w:val="04A0" w:firstRow="1" w:lastRow="0" w:firstColumn="1" w:lastColumn="0" w:noHBand="0" w:noVBand="1"/>
      </w:tblPr>
      <w:tblGrid>
        <w:gridCol w:w="1129"/>
        <w:gridCol w:w="6663"/>
      </w:tblGrid>
      <w:tr w:rsidR="00767FF4" w:rsidRPr="00B2599A" w14:paraId="57C78DF8" w14:textId="77777777" w:rsidTr="000F7D35">
        <w:trPr>
          <w:jc w:val="center"/>
        </w:trPr>
        <w:tc>
          <w:tcPr>
            <w:tcW w:w="1129" w:type="dxa"/>
          </w:tcPr>
          <w:p w14:paraId="1A05557A"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 Število</w:t>
            </w:r>
          </w:p>
        </w:tc>
        <w:tc>
          <w:tcPr>
            <w:tcW w:w="6663" w:type="dxa"/>
          </w:tcPr>
          <w:p w14:paraId="59ACDDD8"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Naslov</w:t>
            </w:r>
          </w:p>
        </w:tc>
      </w:tr>
      <w:tr w:rsidR="00767FF4" w:rsidRPr="00B2599A" w14:paraId="5F966C69" w14:textId="77777777" w:rsidTr="000F7D35">
        <w:trPr>
          <w:jc w:val="center"/>
        </w:trPr>
        <w:tc>
          <w:tcPr>
            <w:tcW w:w="1129" w:type="dxa"/>
          </w:tcPr>
          <w:p w14:paraId="1D9E4F84"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14055</w:t>
            </w:r>
          </w:p>
        </w:tc>
        <w:tc>
          <w:tcPr>
            <w:tcW w:w="6663" w:type="dxa"/>
          </w:tcPr>
          <w:p w14:paraId="5D5D4E6C"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Splakovalniki za WC in pisoarje</w:t>
            </w:r>
          </w:p>
        </w:tc>
      </w:tr>
      <w:tr w:rsidR="00767FF4" w:rsidRPr="00B2599A" w14:paraId="3A1CB310" w14:textId="77777777" w:rsidTr="000F7D35">
        <w:trPr>
          <w:jc w:val="center"/>
        </w:trPr>
        <w:tc>
          <w:tcPr>
            <w:tcW w:w="1129" w:type="dxa"/>
          </w:tcPr>
          <w:p w14:paraId="28C9D68E"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12541</w:t>
            </w:r>
          </w:p>
        </w:tc>
        <w:tc>
          <w:tcPr>
            <w:tcW w:w="6663" w:type="dxa"/>
          </w:tcPr>
          <w:p w14:paraId="6238DA54"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Sanitarne armature – Tlačni splakovalniki WC in pisoarjev – Samozaporni PN10</w:t>
            </w:r>
          </w:p>
        </w:tc>
      </w:tr>
      <w:tr w:rsidR="00767FF4" w:rsidRPr="00B2599A" w14:paraId="5E031346" w14:textId="77777777" w:rsidTr="000F7D35">
        <w:trPr>
          <w:jc w:val="center"/>
        </w:trPr>
        <w:tc>
          <w:tcPr>
            <w:tcW w:w="1129" w:type="dxa"/>
          </w:tcPr>
          <w:p w14:paraId="7A0E51E3"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15091</w:t>
            </w:r>
          </w:p>
          <w:p w14:paraId="126872F2"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p>
        </w:tc>
        <w:tc>
          <w:tcPr>
            <w:tcW w:w="6663" w:type="dxa"/>
          </w:tcPr>
          <w:p w14:paraId="4C0E5C98"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Sanitarne armature – Elektronsko odpiranje in zapiranje sanitarnih armatur</w:t>
            </w:r>
          </w:p>
        </w:tc>
      </w:tr>
    </w:tbl>
    <w:p w14:paraId="37075F6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0E3359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178B35BA" w14:textId="554B18E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298D492" w14:textId="002665D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splakovalni sistem izdelka skladen z zahtevami standardov EN, omenjenih zgoraj, ali enakovrednih standardov, ali </w:t>
      </w:r>
    </w:p>
    <w:p w14:paraId="4C1FC120" w14:textId="7415F3F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940CB87" w14:textId="6B59E43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5CCF14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250242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5. Učinkovitost splakovanja pisoarnih kompletov in pisoarjev mora biti skladna z zahtevami standarda EN 13407.</w:t>
      </w:r>
    </w:p>
    <w:p w14:paraId="3787C855"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F1D286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CA3510E" w14:textId="403AD572"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0695FED" w14:textId="30D1090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učinkovitost splakovanja izdelka skladna z zahtevami standarda EN 13407, ali </w:t>
      </w:r>
    </w:p>
    <w:p w14:paraId="5591D8C5" w14:textId="724177B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735D6F4" w14:textId="7377F12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784433B"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813FA30"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 Pisoarji brez vodnega splakovanja morajo biti skladni z zahtevami iz Dodatka 2 k Sklepu Komisije (2013/641/EU).</w:t>
      </w:r>
    </w:p>
    <w:p w14:paraId="7171CF6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62EF66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2AF2EEC" w14:textId="01491E1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5A7F058" w14:textId="35C0546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izdelek skladen z navedenimi zahtevami, ali </w:t>
      </w:r>
    </w:p>
    <w:p w14:paraId="26BC4D4A" w14:textId="6027501A"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20EDEA40" w14:textId="21B2E6A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62404EF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822895C"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7. Za opremo za pisoarje na splakovanje velja za popravila ali zamenjavo vsaj petletna garancija. Garancijski pogoji jasno zajemajo preskus tesnosti in vse ventile izdelka. Ponudnik zagotovi tudi, da so originalni nadomestni deli ali enakovredni deli razpoložljivi najmanj deset let od datuma nakupa.</w:t>
      </w:r>
    </w:p>
    <w:p w14:paraId="3FFC85A2"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59F715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CB059E" w14:textId="37275ED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67A36C64" w14:textId="2CACC1D8"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3822B0C" w14:textId="4C7B1A7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33BA225C"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06C4E35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lastRenderedPageBreak/>
        <w:t>8. 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p w14:paraId="4A5231C2"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4E4BBF4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AF71FC0" w14:textId="723B5EF8"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89F1BA" w14:textId="142BD56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vzorec informacij za uporabnika, ki opisujejo zahtevani sistem vzdrževanja, ali povezavo do spletne strani proizvajalca, ki vsebuje te informacije, ter dokumentacijo, ki opisuje uporabljeno tehnologijo, in v primeru uporabe tekočine poročilo o preskusu, ki dokazuje, da je tekočina lahko biološko razgradljiva skladno z opredelitvijo in preskusnimi metodami iz Smernic o uporabi meril za razvrščanje, označevanje in pakiranje11 v skladu z Uredbo (ES) št. 1272/2008, ali </w:t>
      </w:r>
    </w:p>
    <w:p w14:paraId="180B3268" w14:textId="3670BDD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0997E5A" w14:textId="1CCC6A3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B90E98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215AFD84"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9. Oprema za pisoarje na splakovanje se dobavi z naslednjimi informacijami v tiskani obliki (na embalaži ali v dokumentaciji, priloženi izdelku) in/ali elektronski obliki:</w:t>
      </w:r>
    </w:p>
    <w:p w14:paraId="3ABC7567" w14:textId="1D0948E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posebnem obratovalnem tlaku, za katerega je izdelek primeren, podatkom o tem, s katerimi vrstami odtočnega sistema lahko izdelek deluje, s podatki, ki opisujejo, kako prilagoditi celotni volumen splakovanja in tudi posledice (npr. v smislu ravni preostale vode in ravni polnjenja itn.), ter za pisoarje in splakovalne sisteme za pisoarje, ki se dajo na trg posebej, s podatkom o tem, s katerimi izdelki tvorijo popolno delujočo enoto, ki je varčna z vodo; </w:t>
      </w:r>
    </w:p>
    <w:p w14:paraId="6AF0B457" w14:textId="3D7EF41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napotki o tem, kako se lahko z racionalno uporabo čim bolj zmanjša vpliv na okolje, zlasti informacijami o ustrezni uporabi izdelka, da se čim bolj zmanjša poraba vode; – informacijami o celotnem volumnu splakovanja v l/splakovanje; </w:t>
      </w:r>
    </w:p>
    <w:p w14:paraId="2F434D84" w14:textId="46AF57B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priporočili o pravilni uporabi in vzdrževanju izdelka, vključno z navodili za vzdrževanje in uporabo, s podatkom o tem, kateri nadomestni deli se lahko zamenjajo, podatkom o zamenjavi tesnil in drugih elementov, če izdelek pušča, z nasveti za čiščenje itn.; </w:t>
      </w:r>
    </w:p>
    <w:p w14:paraId="4401879C" w14:textId="64D8DD0D"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informacijami o ustreznem odlaganju izrabljenega izdelka.</w:t>
      </w:r>
    </w:p>
    <w:p w14:paraId="09BC5087"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186A114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824A5A8" w14:textId="5D4A408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0F3FCF6" w14:textId="3DD1915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B3C6EE3" w14:textId="3C30F2B0"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BA74F66" w14:textId="77777777" w:rsidR="00767FF4" w:rsidRPr="00B2599A" w:rsidRDefault="00767FF4">
      <w:pPr>
        <w:rPr>
          <w:rFonts w:asciiTheme="minorHAnsi" w:eastAsiaTheme="minorEastAsia" w:hAnsiTheme="minorHAnsi" w:cs="Calibri"/>
          <w:b/>
          <w:bCs/>
          <w:color w:val="008080"/>
          <w:szCs w:val="20"/>
          <w:u w:val="single"/>
          <w:lang w:eastAsia="ja-JP"/>
        </w:rPr>
      </w:pPr>
    </w:p>
    <w:p w14:paraId="72804BFF" w14:textId="77777777" w:rsidR="00767FF4" w:rsidRPr="00B2599A" w:rsidRDefault="00767FF4">
      <w:pPr>
        <w:rPr>
          <w:rFonts w:asciiTheme="minorHAnsi" w:eastAsiaTheme="minorEastAsia" w:hAnsiTheme="minorHAnsi" w:cs="Calibri"/>
          <w:b/>
          <w:bCs/>
          <w:color w:val="008080"/>
          <w:szCs w:val="20"/>
          <w:u w:val="single"/>
          <w:lang w:eastAsia="ja-JP"/>
        </w:rPr>
      </w:pPr>
    </w:p>
    <w:p w14:paraId="308F3408" w14:textId="77777777" w:rsidR="00767FF4" w:rsidRPr="00B2599A" w:rsidRDefault="00767FF4" w:rsidP="00767FF4">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ZAHTEVE ZA GRELNIKE VODE, GRELNIKE PROSTORA IN NJIHOVE KOMBINACIJE TER HRANILNIKE TOPLE VODE</w:t>
      </w:r>
    </w:p>
    <w:p w14:paraId="2AB1A321"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 Grelnik vode in kombiniran grelnik vode, katerega osnovna funkcija je zagotavljanje tople pitne ali sanitarne vode, mora imeti pri ogrevanju vode takšno sezonsko energijsko učinkovitost ηwh, da je uvrščen v razred energijske učinkovitosti A+++kar glede na velikost grelnika, povezano s profilom rabe, pomeni za:</w:t>
      </w:r>
    </w:p>
    <w:p w14:paraId="5AE62F96"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3 X S: ηwh ≥ 62; </w:t>
      </w:r>
    </w:p>
    <w:p w14:paraId="4BBC79E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XXS: ηwh ≥ 62; </w:t>
      </w:r>
    </w:p>
    <w:p w14:paraId="189DD97B"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XS: ηwh ≥ 69; </w:t>
      </w:r>
    </w:p>
    <w:p w14:paraId="7AAD047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S: ηwh ≥ 90; </w:t>
      </w:r>
    </w:p>
    <w:p w14:paraId="5A925A8C"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M: ηwh ≥ 163; </w:t>
      </w:r>
    </w:p>
    <w:p w14:paraId="3BA8819B"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L: ηwh ≥ 188; </w:t>
      </w:r>
    </w:p>
    <w:p w14:paraId="4A80DB7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grelnik vode: XL ηwh ≥ 200; </w:t>
      </w:r>
    </w:p>
    <w:p w14:paraId="4C7155D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grelnik vode XXL: ηwh ≥ 213.</w:t>
      </w:r>
    </w:p>
    <w:p w14:paraId="32F7674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84316B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Grelnik prostorov, razen nizkotemperaturnih toplotnih črpalk in toplotnih črpalk za ogrevanje prostorov za uporabo pri nizkih temperaturah, mora imeti pri ogrevanju prostorov sezonsko energijsko učinkovitost ηs ≥ 150, zato je uvrščen v razred energijske učinkovitosti A+++.</w:t>
      </w:r>
    </w:p>
    <w:p w14:paraId="20CC5715"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A35953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Nizkotemperaturna toplotna črpalka in toplotna črpalka za ogrevanje prostorov za uporabo pri nizkih temperaturah mora imeti pri ogrevanju prostorov sezonsko energijsko učinkovitost ηs ≥ 175, zato je uvrščena v razred energijske učinkovitosti A+++.</w:t>
      </w:r>
    </w:p>
    <w:p w14:paraId="54AA885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2D3C78B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Hranilnik tople vode mora imeti stalno izgubo (v vatih s prostornino zbiralnika V v litrih) S &lt; 5,5 + 3,16 · V0,4, zaradi česar je uvrščen v razred energijske učinkovitosti A+.  </w:t>
      </w:r>
    </w:p>
    <w:p w14:paraId="03F111C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242CED6"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805CAA5" w14:textId="16FC821F"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zahteve izpolnjene, ali - ustrezno dokazilo, iz katerega izhaja, da so zahteve izpolnjene.</w:t>
      </w:r>
    </w:p>
    <w:p w14:paraId="413C1327" w14:textId="77777777" w:rsidR="00767FF4" w:rsidRPr="00B2599A" w:rsidRDefault="00767FF4" w:rsidP="00767FF4">
      <w:pPr>
        <w:spacing w:line="276" w:lineRule="auto"/>
        <w:jc w:val="both"/>
        <w:rPr>
          <w:rFonts w:asciiTheme="minorHAnsi" w:hAnsiTheme="minorHAnsi"/>
          <w:szCs w:val="20"/>
        </w:rPr>
      </w:pPr>
    </w:p>
    <w:p w14:paraId="38B798A2" w14:textId="77777777" w:rsidR="00767FF4" w:rsidRPr="00B2599A" w:rsidRDefault="00767FF4" w:rsidP="00767FF4">
      <w:pPr>
        <w:spacing w:line="276" w:lineRule="auto"/>
        <w:jc w:val="both"/>
        <w:rPr>
          <w:rFonts w:asciiTheme="minorHAnsi" w:hAnsiTheme="minorHAnsi"/>
          <w:b/>
          <w:bCs/>
          <w:szCs w:val="20"/>
        </w:rPr>
      </w:pPr>
      <w:r w:rsidRPr="00B2599A">
        <w:rPr>
          <w:rFonts w:asciiTheme="minorHAnsi" w:hAnsiTheme="minorHAnsi"/>
          <w:b/>
          <w:bCs/>
          <w:szCs w:val="20"/>
        </w:rPr>
        <w:t>2. Popravilo ali zamenjava izdelka sta zajeta v garancijo za brezhibno delovanje. Ponudnik tudi zagotovi, da so originalni ali enakovredni rezervni deli na voljo (neposredno ali pri drugih imenovanih zastopnikih) najmanj ves čas trajanja garancije za brezhibno delovanje. Ta določba se ne bo uporabljala za neizogibne začasne situacije, kot so naravne nesreče, na katere proizvajalec nima vpliva.</w:t>
      </w:r>
    </w:p>
    <w:p w14:paraId="7667540B" w14:textId="77777777" w:rsidR="00767FF4" w:rsidRPr="00B2599A" w:rsidRDefault="00767FF4" w:rsidP="00767FF4">
      <w:pPr>
        <w:spacing w:line="276" w:lineRule="auto"/>
        <w:jc w:val="both"/>
        <w:rPr>
          <w:rFonts w:asciiTheme="minorHAnsi" w:hAnsiTheme="minorHAnsi"/>
          <w:szCs w:val="20"/>
        </w:rPr>
      </w:pPr>
    </w:p>
    <w:p w14:paraId="751017F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57537A1" w14:textId="7940D42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CE3D28F" w14:textId="72AB881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zahteve izpolnjene.</w:t>
      </w:r>
    </w:p>
    <w:p w14:paraId="4B11A532" w14:textId="77777777" w:rsidR="00767FF4" w:rsidRPr="00B2599A" w:rsidRDefault="00767FF4" w:rsidP="00767FF4">
      <w:pPr>
        <w:spacing w:line="276" w:lineRule="auto"/>
        <w:jc w:val="both"/>
        <w:rPr>
          <w:rFonts w:asciiTheme="minorHAnsi" w:hAnsiTheme="minorHAnsi"/>
          <w:szCs w:val="20"/>
        </w:rPr>
      </w:pPr>
    </w:p>
    <w:p w14:paraId="7EFB42B5" w14:textId="77777777" w:rsidR="00767FF4" w:rsidRPr="00B2599A" w:rsidRDefault="00767FF4" w:rsidP="00767FF4">
      <w:pPr>
        <w:spacing w:line="276" w:lineRule="auto"/>
        <w:jc w:val="both"/>
        <w:rPr>
          <w:rFonts w:asciiTheme="minorHAnsi" w:hAnsiTheme="minorHAnsi"/>
          <w:b/>
          <w:bCs/>
          <w:szCs w:val="20"/>
        </w:rPr>
      </w:pPr>
      <w:r w:rsidRPr="00B2599A">
        <w:rPr>
          <w:rFonts w:asciiTheme="minorHAnsi" w:hAnsiTheme="minorHAnsi"/>
          <w:b/>
          <w:bCs/>
          <w:szCs w:val="20"/>
        </w:rPr>
        <w:t xml:space="preserve">3. Izdelek se dobavi z navodili za vgradnjo in uporabo v tiskani (na embalaži ali v dokumentaciji, priloženi izdelku) ali v elektronski obliki. Ti vsebujejo: </w:t>
      </w:r>
    </w:p>
    <w:p w14:paraId="083B07E7"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splošne podatke o ustreznih merah grelnikov za značilnosti/velikosti stavb, kot je naročnikova; </w:t>
      </w:r>
    </w:p>
    <w:p w14:paraId="5BAADCFE"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podatke o porabi energije grelnika; </w:t>
      </w:r>
    </w:p>
    <w:p w14:paraId="44ECDF54"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navodila za ustrezno montažo, vključno z: </w:t>
      </w:r>
    </w:p>
    <w:p w14:paraId="4E40784D"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navodili, ki navajajo, da morajo grelnik vgraditi v celoti usposobljeni monterji; </w:t>
      </w:r>
    </w:p>
    <w:p w14:paraId="1A53F333"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morebitnimi posebnimi varnostnimi ukrepi, ki jih je treba upoštevati pri sestavljanju ali vgradnji grelnika; </w:t>
      </w:r>
    </w:p>
    <w:p w14:paraId="21A59B1C"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navodili, ki navajajo, da je po priključitvi treba ustrezno prilagoditi kontrolne nastavitve (»krivuljo ogrevanja«) grelnika; </w:t>
      </w:r>
    </w:p>
    <w:p w14:paraId="693C41C2"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podrobnostmi, če je ustrezno, o vrednostih emisij, ki onesnažujejo zrak, ki jih morajo dosegati dimni plini med delovanjem, in o tem, kako je treba nastaviti grelnik, da jih bo dosegal. V priporočilih mora biti navedeno zlasti, da: </w:t>
      </w:r>
    </w:p>
    <w:p w14:paraId="47B39F58" w14:textId="77777777" w:rsidR="00767FF4" w:rsidRPr="00B2599A" w:rsidRDefault="00767FF4" w:rsidP="00767FF4">
      <w:pPr>
        <w:pStyle w:val="Odstavekseznama"/>
        <w:numPr>
          <w:ilvl w:val="1"/>
          <w:numId w:val="38"/>
        </w:numPr>
        <w:spacing w:line="276" w:lineRule="auto"/>
        <w:jc w:val="both"/>
        <w:rPr>
          <w:rFonts w:asciiTheme="minorHAnsi" w:hAnsiTheme="minorHAnsi"/>
          <w:szCs w:val="20"/>
        </w:rPr>
      </w:pPr>
      <w:r w:rsidRPr="00B2599A">
        <w:rPr>
          <w:rFonts w:asciiTheme="minorHAnsi" w:hAnsiTheme="minorHAnsi"/>
          <w:szCs w:val="20"/>
        </w:rPr>
        <w:t xml:space="preserve">je treba grelnik prilagoditi s pomočjo merilnih naprav za merjenje CO, O2 ali CO2, NOx, temperature in saj, da se zagotovi, da nobena od mejnih vrednosti iz meril 2, 4, 5, 6 in 7 ni prekoračena; </w:t>
      </w:r>
    </w:p>
    <w:p w14:paraId="50F4D413" w14:textId="77777777" w:rsidR="00767FF4" w:rsidRPr="00B2599A" w:rsidRDefault="00767FF4" w:rsidP="00767FF4">
      <w:pPr>
        <w:pStyle w:val="Odstavekseznama"/>
        <w:numPr>
          <w:ilvl w:val="1"/>
          <w:numId w:val="38"/>
        </w:numPr>
        <w:spacing w:line="276" w:lineRule="auto"/>
        <w:jc w:val="both"/>
        <w:rPr>
          <w:rFonts w:asciiTheme="minorHAnsi" w:hAnsiTheme="minorHAnsi"/>
          <w:szCs w:val="20"/>
        </w:rPr>
      </w:pPr>
      <w:r w:rsidRPr="00B2599A">
        <w:rPr>
          <w:rFonts w:asciiTheme="minorHAnsi" w:hAnsiTheme="minorHAnsi"/>
          <w:szCs w:val="20"/>
        </w:rPr>
        <w:t xml:space="preserve">se za merilne naprave naredijo luknje na istih mestih, kot so bile narejene za laboratorijske preskuse; </w:t>
      </w:r>
    </w:p>
    <w:p w14:paraId="5B78C653" w14:textId="77777777" w:rsidR="00767FF4" w:rsidRPr="00B2599A" w:rsidRDefault="00767FF4" w:rsidP="00767FF4">
      <w:pPr>
        <w:pStyle w:val="Odstavekseznama"/>
        <w:numPr>
          <w:ilvl w:val="1"/>
          <w:numId w:val="38"/>
        </w:numPr>
        <w:spacing w:line="276" w:lineRule="auto"/>
        <w:jc w:val="both"/>
        <w:rPr>
          <w:rFonts w:asciiTheme="minorHAnsi" w:hAnsiTheme="minorHAnsi"/>
          <w:szCs w:val="20"/>
        </w:rPr>
      </w:pPr>
      <w:r w:rsidRPr="00B2599A">
        <w:rPr>
          <w:rFonts w:asciiTheme="minorHAnsi" w:hAnsiTheme="minorHAnsi"/>
          <w:szCs w:val="20"/>
        </w:rPr>
        <w:t xml:space="preserve">se rezultati meritev shranijo na posebnem obrazcu ali diagramu, pri čemer en izvod obdrži končni uporabnik; </w:t>
      </w:r>
    </w:p>
    <w:p w14:paraId="435D4DCC"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lastRenderedPageBreak/>
        <w:t xml:space="preserve">navodili za tehnologijo z nizko temperaturo dimnih plinov, ki navajajo, da mora biti sistem opremljen s tehnologijo za zaviranje korozije; </w:t>
      </w:r>
    </w:p>
    <w:p w14:paraId="6D7E574F"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navodili za kondenzacijske kotle, ki navajajo, da mora biti dimnik zaščiten pred kondenzatom z nizko pH vrednostjo; </w:t>
      </w:r>
    </w:p>
    <w:p w14:paraId="22E8677D"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jasnimi navedbami za toplotne črpalke, da se ne uporabljajo snovi, ki so v skladu z Uredbo (ES) št. 1272/200812 in njenimi poznejšimi spremembami razvrščene kot okolju nevarne ali nevarne za zdravje;</w:t>
      </w:r>
    </w:p>
    <w:p w14:paraId="48D6EE91"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informacijami o tem, na koga se lahko obrne monter za pomoč pri vgradnji; </w:t>
      </w:r>
    </w:p>
    <w:p w14:paraId="788B0771"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navodila o delovanju za serviserje; </w:t>
      </w:r>
    </w:p>
    <w:p w14:paraId="08A960EE"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navodila za uporabo, vključno z: </w:t>
      </w:r>
    </w:p>
    <w:p w14:paraId="64F84D12"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napotitvijo na pooblaščene monterje in serviserje; </w:t>
      </w:r>
    </w:p>
    <w:p w14:paraId="24B197BD"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priporočili za ustrezno uporabo in vzdrževanje grelnika ter katera goriva so primerna za uporabo in njihovo ustrezno skladiščenje zaradi optimalnega zgorevanja ter časovni načrt za redno vzdrževanje; </w:t>
      </w:r>
    </w:p>
    <w:p w14:paraId="4C16EC3A"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nasveti, kako lahko gospodarna uporaba zmanjša vpliv grelnika na okolje, zlasti informacije o ustrezni uporabi izdelka za zmanjšanje porabe energije; </w:t>
      </w:r>
    </w:p>
    <w:p w14:paraId="26713A40"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informacijami, če je ustrezno, o razumevanju merilnih rezultatov in njihovem izboljšanju; </w:t>
      </w:r>
    </w:p>
    <w:p w14:paraId="60D4602C"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informacijami o tem, katere rezervne dele je mogoče zamenjati; </w:t>
      </w:r>
    </w:p>
    <w:p w14:paraId="4E7A574B"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priporočila o primerni odstranitvi izdelka na koncu življenjske dobe.</w:t>
      </w:r>
    </w:p>
    <w:p w14:paraId="4673B3E2" w14:textId="77777777" w:rsidR="00767FF4" w:rsidRPr="00B2599A" w:rsidRDefault="00767FF4" w:rsidP="00767FF4">
      <w:pPr>
        <w:spacing w:line="276" w:lineRule="auto"/>
        <w:jc w:val="both"/>
        <w:rPr>
          <w:rFonts w:asciiTheme="minorHAnsi" w:hAnsiTheme="minorHAnsi"/>
          <w:szCs w:val="20"/>
        </w:rPr>
      </w:pPr>
    </w:p>
    <w:p w14:paraId="5FC8C48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4298B86" w14:textId="12EA199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8DA6AE6" w14:textId="2AAA02F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8CEB779" w14:textId="77777777" w:rsidR="00767FF4" w:rsidRPr="00B2599A" w:rsidRDefault="00767FF4">
      <w:pPr>
        <w:rPr>
          <w:rFonts w:asciiTheme="minorHAnsi" w:eastAsiaTheme="minorEastAsia" w:hAnsiTheme="minorHAnsi" w:cs="Calibri"/>
          <w:b/>
          <w:bCs/>
          <w:color w:val="008080"/>
          <w:szCs w:val="20"/>
          <w:u w:val="single"/>
          <w:lang w:eastAsia="ja-JP"/>
        </w:rPr>
      </w:pPr>
    </w:p>
    <w:p w14:paraId="2EFD38E8" w14:textId="77777777" w:rsidR="00B2599A" w:rsidRPr="00B2599A" w:rsidRDefault="00B2599A" w:rsidP="00B2599A">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ZAHTEVE ZA SANITARNE ARMATURE </w:t>
      </w:r>
    </w:p>
    <w:p w14:paraId="437CFB4A" w14:textId="77777777" w:rsidR="00B2599A" w:rsidRPr="00B2599A" w:rsidRDefault="00B2599A" w:rsidP="00B2599A">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Sanitarne armature za učinkovito rabo vode (za nove ali prenovljene stavbe)</w:t>
      </w:r>
    </w:p>
    <w:p w14:paraId="09C238AC"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w:t>
      </w:r>
      <w:r w:rsidRPr="00B2599A">
        <w:rPr>
          <w:rFonts w:asciiTheme="minorHAnsi" w:eastAsiaTheme="minorEastAsia" w:hAnsiTheme="minorHAnsi" w:cs="Calibri"/>
          <w:b/>
          <w:bCs/>
          <w:color w:val="000000"/>
          <w:szCs w:val="20"/>
          <w:lang w:eastAsia="ja-JP"/>
        </w:rPr>
        <w:tab/>
        <w:t>Maksimalni pretok vode:  v umivalnik/pomivalno korito, ki ni odvisen od tlaka vode, ne sme biti višji od naslednjih vrednosti:</w:t>
      </w:r>
    </w:p>
    <w:p w14:paraId="7B04E03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tbl>
      <w:tblPr>
        <w:tblStyle w:val="Tabelamrea"/>
        <w:tblW w:w="7938" w:type="dxa"/>
        <w:tblInd w:w="846" w:type="dxa"/>
        <w:tblLayout w:type="fixed"/>
        <w:tblLook w:val="04A0" w:firstRow="1" w:lastRow="0" w:firstColumn="1" w:lastColumn="0" w:noHBand="0" w:noVBand="1"/>
      </w:tblPr>
      <w:tblGrid>
        <w:gridCol w:w="2693"/>
        <w:gridCol w:w="2552"/>
        <w:gridCol w:w="2693"/>
      </w:tblGrid>
      <w:tr w:rsidR="00B2599A" w:rsidRPr="00B2599A" w14:paraId="34DD8AA5" w14:textId="77777777" w:rsidTr="000F7D35">
        <w:tc>
          <w:tcPr>
            <w:tcW w:w="2693" w:type="dxa"/>
            <w:tcBorders>
              <w:bottom w:val="single" w:sz="4" w:space="0" w:color="auto"/>
            </w:tcBorders>
          </w:tcPr>
          <w:p w14:paraId="0519C379"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Podskupina izdelka</w:t>
            </w:r>
          </w:p>
        </w:tc>
        <w:tc>
          <w:tcPr>
            <w:tcW w:w="2552" w:type="dxa"/>
          </w:tcPr>
          <w:p w14:paraId="486C9C40" w14:textId="77777777" w:rsidR="00B2599A" w:rsidRPr="00B2599A" w:rsidRDefault="00B2599A" w:rsidP="000F7D35">
            <w:pPr>
              <w:pStyle w:val="TableParagraph"/>
              <w:ind w:left="0"/>
              <w:rPr>
                <w:rFonts w:asciiTheme="minorHAnsi" w:hAnsiTheme="minorHAnsi"/>
                <w:b/>
                <w:sz w:val="20"/>
                <w:szCs w:val="20"/>
              </w:rPr>
            </w:pPr>
          </w:p>
        </w:tc>
        <w:tc>
          <w:tcPr>
            <w:tcW w:w="2693" w:type="dxa"/>
          </w:tcPr>
          <w:p w14:paraId="09B30BEF" w14:textId="77777777" w:rsidR="00B2599A" w:rsidRPr="00B2599A" w:rsidRDefault="00B2599A" w:rsidP="000F7D35">
            <w:pPr>
              <w:pStyle w:val="TableParagraph"/>
              <w:spacing w:line="210" w:lineRule="exact"/>
              <w:ind w:left="163" w:right="255"/>
              <w:jc w:val="center"/>
              <w:rPr>
                <w:rFonts w:asciiTheme="minorHAnsi" w:hAnsiTheme="minorHAnsi"/>
                <w:sz w:val="20"/>
                <w:szCs w:val="20"/>
              </w:rPr>
            </w:pPr>
            <w:r w:rsidRPr="00B2599A">
              <w:rPr>
                <w:rFonts w:asciiTheme="minorHAnsi" w:hAnsiTheme="minorHAnsi"/>
                <w:sz w:val="20"/>
                <w:szCs w:val="20"/>
              </w:rPr>
              <w:t>Pretok vode [l/min]</w:t>
            </w:r>
          </w:p>
        </w:tc>
      </w:tr>
      <w:tr w:rsidR="00B2599A" w:rsidRPr="00B2599A" w14:paraId="3AB2EDB9" w14:textId="77777777" w:rsidTr="000F7D35">
        <w:tc>
          <w:tcPr>
            <w:tcW w:w="2693" w:type="dxa"/>
            <w:tcBorders>
              <w:top w:val="single" w:sz="4" w:space="0" w:color="auto"/>
              <w:left w:val="single" w:sz="4" w:space="0" w:color="auto"/>
              <w:bottom w:val="nil"/>
              <w:right w:val="single" w:sz="4" w:space="0" w:color="auto"/>
            </w:tcBorders>
          </w:tcPr>
          <w:p w14:paraId="321CA5F9"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Kuhinjske pipe</w:t>
            </w:r>
            <w:r w:rsidRPr="00B2599A">
              <w:rPr>
                <w:rStyle w:val="Sprotnaopomba-sklic"/>
                <w:rFonts w:asciiTheme="minorHAnsi" w:hAnsiTheme="minorHAnsi"/>
                <w:sz w:val="20"/>
                <w:szCs w:val="20"/>
              </w:rPr>
              <w:footnoteReference w:id="1"/>
            </w:r>
          </w:p>
        </w:tc>
        <w:tc>
          <w:tcPr>
            <w:tcW w:w="2552" w:type="dxa"/>
            <w:tcBorders>
              <w:left w:val="single" w:sz="4" w:space="0" w:color="auto"/>
            </w:tcBorders>
          </w:tcPr>
          <w:p w14:paraId="1018069E"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brez omejevalnika pretoka</w:t>
            </w:r>
          </w:p>
        </w:tc>
        <w:tc>
          <w:tcPr>
            <w:tcW w:w="2693" w:type="dxa"/>
          </w:tcPr>
          <w:p w14:paraId="04C2A7FB"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6,0</w:t>
            </w:r>
          </w:p>
        </w:tc>
      </w:tr>
      <w:tr w:rsidR="00B2599A" w:rsidRPr="00B2599A" w14:paraId="607B27E8" w14:textId="77777777" w:rsidTr="000F7D35">
        <w:tc>
          <w:tcPr>
            <w:tcW w:w="2693" w:type="dxa"/>
            <w:tcBorders>
              <w:top w:val="nil"/>
              <w:left w:val="single" w:sz="4" w:space="0" w:color="auto"/>
              <w:bottom w:val="single" w:sz="4" w:space="0" w:color="auto"/>
              <w:right w:val="single" w:sz="4" w:space="0" w:color="auto"/>
            </w:tcBorders>
          </w:tcPr>
          <w:p w14:paraId="7D56AC1E" w14:textId="77777777" w:rsidR="00B2599A" w:rsidRPr="00B2599A" w:rsidRDefault="00B2599A" w:rsidP="000F7D35">
            <w:pPr>
              <w:pStyle w:val="TableParagraph"/>
              <w:ind w:left="0"/>
              <w:rPr>
                <w:rFonts w:asciiTheme="minorHAnsi" w:hAnsiTheme="minorHAnsi"/>
                <w:b/>
                <w:sz w:val="20"/>
                <w:szCs w:val="20"/>
              </w:rPr>
            </w:pPr>
          </w:p>
        </w:tc>
        <w:tc>
          <w:tcPr>
            <w:tcW w:w="2552" w:type="dxa"/>
            <w:tcBorders>
              <w:left w:val="single" w:sz="4" w:space="0" w:color="auto"/>
            </w:tcBorders>
          </w:tcPr>
          <w:p w14:paraId="0115F9E8"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z omejevalnikom pretoka</w:t>
            </w:r>
            <w:r w:rsidRPr="00B2599A">
              <w:rPr>
                <w:rStyle w:val="Sprotnaopomba-sklic"/>
                <w:rFonts w:asciiTheme="minorHAnsi" w:hAnsiTheme="minorHAnsi"/>
                <w:sz w:val="20"/>
                <w:szCs w:val="20"/>
              </w:rPr>
              <w:footnoteReference w:id="2"/>
            </w:r>
          </w:p>
        </w:tc>
        <w:tc>
          <w:tcPr>
            <w:tcW w:w="2693" w:type="dxa"/>
          </w:tcPr>
          <w:p w14:paraId="4320E843"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8,0</w:t>
            </w:r>
          </w:p>
        </w:tc>
      </w:tr>
      <w:tr w:rsidR="00B2599A" w:rsidRPr="00B2599A" w14:paraId="5F38BD1D" w14:textId="77777777" w:rsidTr="000F7D35">
        <w:tc>
          <w:tcPr>
            <w:tcW w:w="2693" w:type="dxa"/>
            <w:tcBorders>
              <w:top w:val="single" w:sz="4" w:space="0" w:color="auto"/>
              <w:left w:val="single" w:sz="4" w:space="0" w:color="auto"/>
              <w:bottom w:val="nil"/>
              <w:right w:val="single" w:sz="4" w:space="0" w:color="auto"/>
            </w:tcBorders>
          </w:tcPr>
          <w:p w14:paraId="6FB6E537"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Kopalniške pipe</w:t>
            </w:r>
            <w:r w:rsidRPr="00B2599A">
              <w:rPr>
                <w:rStyle w:val="Sprotnaopomba-sklic"/>
                <w:rFonts w:asciiTheme="minorHAnsi" w:hAnsiTheme="minorHAnsi"/>
                <w:sz w:val="20"/>
                <w:szCs w:val="20"/>
              </w:rPr>
              <w:footnoteReference w:id="3"/>
            </w:r>
          </w:p>
        </w:tc>
        <w:tc>
          <w:tcPr>
            <w:tcW w:w="2552" w:type="dxa"/>
            <w:tcBorders>
              <w:left w:val="single" w:sz="4" w:space="0" w:color="auto"/>
            </w:tcBorders>
          </w:tcPr>
          <w:p w14:paraId="56846B6F"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brez omejevalnika pretoka</w:t>
            </w:r>
          </w:p>
        </w:tc>
        <w:tc>
          <w:tcPr>
            <w:tcW w:w="2693" w:type="dxa"/>
          </w:tcPr>
          <w:p w14:paraId="311A764A"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6,0</w:t>
            </w:r>
          </w:p>
        </w:tc>
      </w:tr>
      <w:tr w:rsidR="00B2599A" w:rsidRPr="00B2599A" w14:paraId="2EDBCF05" w14:textId="77777777" w:rsidTr="000F7D35">
        <w:tc>
          <w:tcPr>
            <w:tcW w:w="2693" w:type="dxa"/>
            <w:tcBorders>
              <w:top w:val="nil"/>
              <w:left w:val="single" w:sz="4" w:space="0" w:color="auto"/>
              <w:bottom w:val="single" w:sz="4" w:space="0" w:color="auto"/>
              <w:right w:val="single" w:sz="4" w:space="0" w:color="auto"/>
            </w:tcBorders>
          </w:tcPr>
          <w:p w14:paraId="1EBBDF46" w14:textId="77777777" w:rsidR="00B2599A" w:rsidRPr="00B2599A" w:rsidRDefault="00B2599A" w:rsidP="000F7D35">
            <w:pPr>
              <w:pStyle w:val="TableParagraph"/>
              <w:ind w:left="0"/>
              <w:rPr>
                <w:rFonts w:asciiTheme="minorHAnsi" w:hAnsiTheme="minorHAnsi"/>
                <w:b/>
                <w:sz w:val="20"/>
                <w:szCs w:val="20"/>
              </w:rPr>
            </w:pPr>
          </w:p>
        </w:tc>
        <w:tc>
          <w:tcPr>
            <w:tcW w:w="2552" w:type="dxa"/>
            <w:tcBorders>
              <w:left w:val="single" w:sz="4" w:space="0" w:color="auto"/>
            </w:tcBorders>
          </w:tcPr>
          <w:p w14:paraId="28713CD3"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z omejevalnikom pretoka</w:t>
            </w:r>
            <w:r w:rsidRPr="00B2599A">
              <w:rPr>
                <w:rStyle w:val="Sprotnaopomba-sklic"/>
                <w:rFonts w:asciiTheme="minorHAnsi" w:hAnsiTheme="minorHAnsi"/>
                <w:sz w:val="20"/>
                <w:szCs w:val="20"/>
              </w:rPr>
              <w:footnoteReference w:id="4"/>
            </w:r>
          </w:p>
        </w:tc>
        <w:tc>
          <w:tcPr>
            <w:tcW w:w="2693" w:type="dxa"/>
          </w:tcPr>
          <w:p w14:paraId="1B372D91" w14:textId="77777777" w:rsidR="00B2599A" w:rsidRPr="00B2599A" w:rsidRDefault="00B2599A" w:rsidP="000F7D35">
            <w:pPr>
              <w:pStyle w:val="TableParagraph"/>
              <w:spacing w:line="211" w:lineRule="exact"/>
              <w:ind w:left="163" w:right="155"/>
              <w:jc w:val="center"/>
              <w:rPr>
                <w:rFonts w:asciiTheme="minorHAnsi" w:hAnsiTheme="minorHAnsi"/>
                <w:sz w:val="20"/>
                <w:szCs w:val="20"/>
              </w:rPr>
            </w:pPr>
            <w:r w:rsidRPr="00B2599A">
              <w:rPr>
                <w:rFonts w:asciiTheme="minorHAnsi" w:hAnsiTheme="minorHAnsi"/>
                <w:sz w:val="20"/>
                <w:szCs w:val="20"/>
              </w:rPr>
              <w:t>8,0</w:t>
            </w:r>
          </w:p>
        </w:tc>
      </w:tr>
      <w:tr w:rsidR="00B2599A" w:rsidRPr="00B2599A" w14:paraId="273AEC5C" w14:textId="77777777" w:rsidTr="000F7D35">
        <w:tc>
          <w:tcPr>
            <w:tcW w:w="2693" w:type="dxa"/>
            <w:tcBorders>
              <w:top w:val="single" w:sz="4" w:space="0" w:color="auto"/>
            </w:tcBorders>
          </w:tcPr>
          <w:p w14:paraId="41A1C743"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Pršne glave ali prhe</w:t>
            </w:r>
            <w:r w:rsidRPr="00B2599A">
              <w:rPr>
                <w:rStyle w:val="Sprotnaopomba-sklic"/>
                <w:rFonts w:asciiTheme="minorHAnsi" w:hAnsiTheme="minorHAnsi"/>
                <w:sz w:val="20"/>
                <w:szCs w:val="20"/>
              </w:rPr>
              <w:footnoteReference w:id="5"/>
            </w:r>
          </w:p>
        </w:tc>
        <w:tc>
          <w:tcPr>
            <w:tcW w:w="2552" w:type="dxa"/>
          </w:tcPr>
          <w:p w14:paraId="76662403" w14:textId="77777777" w:rsidR="00B2599A" w:rsidRPr="00B2599A" w:rsidRDefault="00B2599A" w:rsidP="000F7D35">
            <w:pPr>
              <w:pStyle w:val="TableParagraph"/>
              <w:ind w:left="0"/>
              <w:rPr>
                <w:rFonts w:asciiTheme="minorHAnsi" w:hAnsiTheme="minorHAnsi"/>
                <w:b/>
                <w:sz w:val="20"/>
                <w:szCs w:val="20"/>
              </w:rPr>
            </w:pPr>
          </w:p>
        </w:tc>
        <w:tc>
          <w:tcPr>
            <w:tcW w:w="2693" w:type="dxa"/>
          </w:tcPr>
          <w:p w14:paraId="47807CA7"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8,0</w:t>
            </w:r>
          </w:p>
        </w:tc>
      </w:tr>
    </w:tbl>
    <w:p w14:paraId="1A8A492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625652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23A6C9B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50960418"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2627DB8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621E40A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3DA2583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81F669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lastRenderedPageBreak/>
        <w:t>2.</w:t>
      </w:r>
      <w:r w:rsidRPr="00B2599A">
        <w:rPr>
          <w:rFonts w:asciiTheme="minorHAnsi" w:eastAsiaTheme="minorEastAsia" w:hAnsiTheme="minorHAnsi" w:cs="Calibri"/>
          <w:b/>
          <w:bCs/>
          <w:color w:val="000000"/>
          <w:szCs w:val="20"/>
          <w:lang w:eastAsia="ja-JP"/>
        </w:rPr>
        <w:tab/>
        <w:t>Najnižji maksimalni pretok vode: sanitarnih armatur, ki ni odvisen od tlaka vode, ni nižji od naslednjih vrednosti:</w:t>
      </w:r>
    </w:p>
    <w:p w14:paraId="07AF6735"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tbl>
      <w:tblPr>
        <w:tblStyle w:val="Tabelamrea"/>
        <w:tblW w:w="0" w:type="auto"/>
        <w:tblInd w:w="846" w:type="dxa"/>
        <w:tblLayout w:type="fixed"/>
        <w:tblLook w:val="04A0" w:firstRow="1" w:lastRow="0" w:firstColumn="1" w:lastColumn="0" w:noHBand="0" w:noVBand="1"/>
      </w:tblPr>
      <w:tblGrid>
        <w:gridCol w:w="3969"/>
        <w:gridCol w:w="3969"/>
      </w:tblGrid>
      <w:tr w:rsidR="00B2599A" w:rsidRPr="00B2599A" w14:paraId="5FDBEC97" w14:textId="77777777" w:rsidTr="000F7D35">
        <w:tc>
          <w:tcPr>
            <w:tcW w:w="3969" w:type="dxa"/>
          </w:tcPr>
          <w:p w14:paraId="6F170024"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Podskupina</w:t>
            </w:r>
            <w:r w:rsidRPr="00B2599A">
              <w:rPr>
                <w:rFonts w:asciiTheme="minorHAnsi" w:hAnsiTheme="minorHAnsi"/>
                <w:spacing w:val="-2"/>
                <w:sz w:val="20"/>
                <w:szCs w:val="20"/>
              </w:rPr>
              <w:t xml:space="preserve"> </w:t>
            </w:r>
            <w:r w:rsidRPr="00B2599A">
              <w:rPr>
                <w:rFonts w:asciiTheme="minorHAnsi" w:hAnsiTheme="minorHAnsi"/>
                <w:sz w:val="20"/>
                <w:szCs w:val="20"/>
              </w:rPr>
              <w:t>izdelka</w:t>
            </w:r>
          </w:p>
        </w:tc>
        <w:tc>
          <w:tcPr>
            <w:tcW w:w="3969" w:type="dxa"/>
          </w:tcPr>
          <w:p w14:paraId="606D6581"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Pretok vode [l/min]</w:t>
            </w:r>
          </w:p>
        </w:tc>
      </w:tr>
      <w:tr w:rsidR="00B2599A" w:rsidRPr="00B2599A" w14:paraId="04DF1CFF" w14:textId="77777777" w:rsidTr="000F7D35">
        <w:tc>
          <w:tcPr>
            <w:tcW w:w="3969" w:type="dxa"/>
          </w:tcPr>
          <w:p w14:paraId="131037D2"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Kuhinjske</w:t>
            </w:r>
            <w:r w:rsidRPr="00B2599A">
              <w:rPr>
                <w:rFonts w:asciiTheme="minorHAnsi" w:hAnsiTheme="minorHAnsi"/>
                <w:spacing w:val="-3"/>
                <w:sz w:val="20"/>
                <w:szCs w:val="20"/>
              </w:rPr>
              <w:t xml:space="preserve"> </w:t>
            </w:r>
            <w:r w:rsidRPr="00B2599A">
              <w:rPr>
                <w:rFonts w:asciiTheme="minorHAnsi" w:hAnsiTheme="minorHAnsi"/>
                <w:sz w:val="20"/>
                <w:szCs w:val="20"/>
              </w:rPr>
              <w:t>pipe</w:t>
            </w:r>
          </w:p>
        </w:tc>
        <w:tc>
          <w:tcPr>
            <w:tcW w:w="3969" w:type="dxa"/>
          </w:tcPr>
          <w:p w14:paraId="703A3A65" w14:textId="77777777" w:rsidR="00B2599A" w:rsidRPr="00B2599A" w:rsidRDefault="00B2599A" w:rsidP="000F7D35">
            <w:pPr>
              <w:pStyle w:val="TableParagraph"/>
              <w:tabs>
                <w:tab w:val="left" w:pos="5218"/>
                <w:tab w:val="left" w:pos="5960"/>
              </w:tabs>
              <w:spacing w:line="249" w:lineRule="auto"/>
              <w:ind w:left="0"/>
              <w:jc w:val="center"/>
              <w:rPr>
                <w:rFonts w:asciiTheme="minorHAnsi" w:hAnsiTheme="minorHAnsi"/>
                <w:sz w:val="20"/>
                <w:szCs w:val="20"/>
              </w:rPr>
            </w:pPr>
            <w:r w:rsidRPr="00B2599A">
              <w:rPr>
                <w:rFonts w:asciiTheme="minorHAnsi" w:hAnsiTheme="minorHAnsi"/>
                <w:sz w:val="20"/>
                <w:szCs w:val="20"/>
              </w:rPr>
              <w:t>2,0</w:t>
            </w:r>
          </w:p>
        </w:tc>
      </w:tr>
      <w:tr w:rsidR="00B2599A" w:rsidRPr="00B2599A" w14:paraId="08833B8B" w14:textId="77777777" w:rsidTr="000F7D35">
        <w:tc>
          <w:tcPr>
            <w:tcW w:w="3969" w:type="dxa"/>
          </w:tcPr>
          <w:p w14:paraId="7E68101D"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Kopalniške</w:t>
            </w:r>
            <w:r w:rsidRPr="00B2599A">
              <w:rPr>
                <w:rFonts w:asciiTheme="minorHAnsi" w:hAnsiTheme="minorHAnsi"/>
                <w:spacing w:val="-5"/>
                <w:sz w:val="20"/>
                <w:szCs w:val="20"/>
              </w:rPr>
              <w:t xml:space="preserve"> </w:t>
            </w:r>
            <w:r w:rsidRPr="00B2599A">
              <w:rPr>
                <w:rFonts w:asciiTheme="minorHAnsi" w:hAnsiTheme="minorHAnsi"/>
                <w:sz w:val="20"/>
                <w:szCs w:val="20"/>
              </w:rPr>
              <w:t>pipe</w:t>
            </w:r>
          </w:p>
        </w:tc>
        <w:tc>
          <w:tcPr>
            <w:tcW w:w="3969" w:type="dxa"/>
          </w:tcPr>
          <w:p w14:paraId="793F328D"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2,0</w:t>
            </w:r>
          </w:p>
        </w:tc>
      </w:tr>
      <w:tr w:rsidR="00B2599A" w:rsidRPr="00B2599A" w14:paraId="0D95DBA3" w14:textId="77777777" w:rsidTr="000F7D35">
        <w:tc>
          <w:tcPr>
            <w:tcW w:w="3969" w:type="dxa"/>
          </w:tcPr>
          <w:p w14:paraId="2D9001C3"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Pršne glave</w:t>
            </w:r>
            <w:r w:rsidRPr="00B2599A">
              <w:rPr>
                <w:rFonts w:asciiTheme="minorHAnsi" w:hAnsiTheme="minorHAnsi"/>
                <w:spacing w:val="-6"/>
                <w:sz w:val="20"/>
                <w:szCs w:val="20"/>
              </w:rPr>
              <w:t xml:space="preserve"> </w:t>
            </w:r>
            <w:r w:rsidRPr="00B2599A">
              <w:rPr>
                <w:rFonts w:asciiTheme="minorHAnsi" w:hAnsiTheme="minorHAnsi"/>
                <w:sz w:val="20"/>
                <w:szCs w:val="20"/>
              </w:rPr>
              <w:t>ali</w:t>
            </w:r>
            <w:r w:rsidRPr="00B2599A">
              <w:rPr>
                <w:rFonts w:asciiTheme="minorHAnsi" w:hAnsiTheme="minorHAnsi"/>
                <w:spacing w:val="-4"/>
                <w:sz w:val="20"/>
                <w:szCs w:val="20"/>
              </w:rPr>
              <w:t xml:space="preserve"> </w:t>
            </w:r>
            <w:r w:rsidRPr="00B2599A">
              <w:rPr>
                <w:rFonts w:asciiTheme="minorHAnsi" w:hAnsiTheme="minorHAnsi"/>
                <w:sz w:val="20"/>
                <w:szCs w:val="20"/>
              </w:rPr>
              <w:t>prhe</w:t>
            </w:r>
          </w:p>
        </w:tc>
        <w:tc>
          <w:tcPr>
            <w:tcW w:w="3969" w:type="dxa"/>
          </w:tcPr>
          <w:p w14:paraId="08A06D82"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4,5</w:t>
            </w:r>
          </w:p>
        </w:tc>
      </w:tr>
      <w:tr w:rsidR="00B2599A" w:rsidRPr="00B2599A" w14:paraId="14C6180E" w14:textId="77777777" w:rsidTr="000F7D35">
        <w:tc>
          <w:tcPr>
            <w:tcW w:w="3969" w:type="dxa"/>
          </w:tcPr>
          <w:p w14:paraId="4917B3A9"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Električne prhe in</w:t>
            </w:r>
            <w:r w:rsidRPr="00B2599A">
              <w:rPr>
                <w:rFonts w:asciiTheme="minorHAnsi" w:hAnsiTheme="minorHAnsi"/>
                <w:spacing w:val="-14"/>
                <w:sz w:val="20"/>
                <w:szCs w:val="20"/>
              </w:rPr>
              <w:t xml:space="preserve"> </w:t>
            </w:r>
            <w:r w:rsidRPr="00B2599A">
              <w:rPr>
                <w:rFonts w:asciiTheme="minorHAnsi" w:hAnsiTheme="minorHAnsi"/>
                <w:sz w:val="20"/>
                <w:szCs w:val="20"/>
              </w:rPr>
              <w:t>nizkotlačne</w:t>
            </w:r>
            <w:r w:rsidRPr="00B2599A">
              <w:rPr>
                <w:rFonts w:asciiTheme="minorHAnsi" w:hAnsiTheme="minorHAnsi"/>
                <w:spacing w:val="-5"/>
                <w:sz w:val="20"/>
                <w:szCs w:val="20"/>
              </w:rPr>
              <w:t xml:space="preserve"> </w:t>
            </w:r>
            <w:r w:rsidRPr="00B2599A">
              <w:rPr>
                <w:rFonts w:asciiTheme="minorHAnsi" w:hAnsiTheme="minorHAnsi"/>
                <w:sz w:val="20"/>
                <w:szCs w:val="20"/>
              </w:rPr>
              <w:t>prhe</w:t>
            </w:r>
          </w:p>
        </w:tc>
        <w:tc>
          <w:tcPr>
            <w:tcW w:w="3969" w:type="dxa"/>
          </w:tcPr>
          <w:p w14:paraId="2D54441F"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3,0</w:t>
            </w:r>
          </w:p>
        </w:tc>
      </w:tr>
    </w:tbl>
    <w:p w14:paraId="0E958CCF"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A478BC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5C971E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w:t>
      </w:r>
    </w:p>
    <w:p w14:paraId="5C23C8B7"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ali</w:t>
      </w:r>
    </w:p>
    <w:p w14:paraId="63D802D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70F22E0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15DC8B4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48D8CAD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FEA409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3.</w:t>
      </w:r>
      <w:r w:rsidRPr="00B2599A">
        <w:rPr>
          <w:rFonts w:asciiTheme="minorHAnsi" w:eastAsiaTheme="minorEastAsia" w:hAnsiTheme="minorHAnsi" w:cs="Calibri"/>
          <w:b/>
          <w:bCs/>
          <w:color w:val="000000"/>
          <w:szCs w:val="20"/>
          <w:lang w:eastAsia="ja-JP"/>
        </w:rPr>
        <w:tab/>
        <w:t>Uravnavanje temperature: Sanitarne armature morajo biti opremljene z napredno napravo ali tehnično rešitvijo, ki omogoča uravnavanje temperature,  pri čemer naročnik glede na svoje želje izbere eno od naslednjih možnosti:</w:t>
      </w:r>
    </w:p>
    <w:p w14:paraId="18BDD52D"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sanitarne armature so opremljene z zaporo tople vode;</w:t>
      </w:r>
    </w:p>
    <w:p w14:paraId="45A7E8C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sanitarne armature omogočajo termostatsko prilagajanje;</w:t>
      </w:r>
    </w:p>
    <w:p w14:paraId="5599F46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 xml:space="preserve">sanitarne armature so zasnovane za oskrbo s hladno vodo v sredinskem položaju. </w:t>
      </w:r>
    </w:p>
    <w:p w14:paraId="0E430D82"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Kadar je temperatura vode za oskrbo že uravnana, ponudnik pojasni posebno tehnično lastnost, zaradi katere so sanitarne armature posebej primerne za priključitev na to vrsto sistema.</w:t>
      </w:r>
    </w:p>
    <w:p w14:paraId="3D69FD22"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2620D11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401A9E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5EE0FC1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7834802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112665E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091F950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4.</w:t>
      </w:r>
      <w:r w:rsidRPr="00B2599A">
        <w:rPr>
          <w:rFonts w:asciiTheme="minorHAnsi" w:eastAsiaTheme="minorEastAsia" w:hAnsiTheme="minorHAnsi" w:cs="Calibri"/>
          <w:b/>
          <w:bCs/>
          <w:color w:val="000000"/>
          <w:szCs w:val="20"/>
          <w:lang w:eastAsia="ja-JP"/>
        </w:rPr>
        <w:tab/>
        <w:t xml:space="preserve">Časovni nadzor za sanitarne armature za več uporabnikov in pogosto uporabo: </w:t>
      </w:r>
    </w:p>
    <w:p w14:paraId="1BA3EB2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Sanitarne armature, nameščene v nestanovanjskih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w:t>
      </w:r>
    </w:p>
    <w:p w14:paraId="7A8216C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izdelki opremijo z napravo, ki po določenem času neuporabe prekine pretok vode (na primer senzor, ki prekine pretok vode, ko uporabnik zapusti območje senzorja), oziroma</w:t>
      </w:r>
    </w:p>
    <w:p w14:paraId="6BB1C788"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nastavi čas uporabe (na primer časovni omejevalnik, ki prekine pretok vode, ko je dosežen maksimalni čas pretoka).</w:t>
      </w:r>
    </w:p>
    <w:p w14:paraId="1E409F6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030C52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Pri tem prednastavljeni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prednastavljeno zapoznitvijo zapore največ dve minuti, da se prepreči neželen ali neprekinjen pretok vode iz pip ali prh med njihovo neuporabo.</w:t>
      </w:r>
    </w:p>
    <w:p w14:paraId="5A09527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2ADC0D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ECC3D5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0C59294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5390CB3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74D057E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77C8A309"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5.</w:t>
      </w:r>
      <w:r w:rsidRPr="00B2599A">
        <w:rPr>
          <w:rFonts w:asciiTheme="minorHAnsi" w:eastAsiaTheme="minorEastAsia" w:hAnsiTheme="minorHAnsi" w:cs="Calibri"/>
          <w:b/>
          <w:bCs/>
          <w:color w:val="000000"/>
          <w:szCs w:val="20"/>
          <w:lang w:eastAsia="ja-JP"/>
        </w:rPr>
        <w:tab/>
        <w:t xml:space="preserve">Kemijsko in higiensko obnašanje materialov: </w:t>
      </w:r>
    </w:p>
    <w:p w14:paraId="67238EF9"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 </w:t>
      </w:r>
    </w:p>
    <w:p w14:paraId="5A30C64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C33EAF0"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EC8BBC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45D96D4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41432E4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4952B3E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p>
    <w:p w14:paraId="04CB9C0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w:t>
      </w:r>
      <w:r w:rsidRPr="00B2599A">
        <w:rPr>
          <w:rFonts w:asciiTheme="minorHAnsi" w:eastAsiaTheme="minorEastAsia" w:hAnsiTheme="minorHAnsi" w:cs="Calibri"/>
          <w:b/>
          <w:bCs/>
          <w:color w:val="000000"/>
          <w:szCs w:val="20"/>
          <w:lang w:eastAsia="ja-JP"/>
        </w:rPr>
        <w:tab/>
        <w:t xml:space="preserve">Pogoji izpostavljenih površin in kakovost prevleke: </w:t>
      </w:r>
    </w:p>
    <w:p w14:paraId="122D717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b/>
          <w:bCs/>
          <w:color w:val="000000"/>
          <w:szCs w:val="20"/>
          <w:lang w:eastAsia="ja-JP"/>
        </w:rPr>
        <w:t>Sanitarni izdelki s kovinsko</w:t>
      </w:r>
      <w:r w:rsidRPr="00B2599A">
        <w:rPr>
          <w:rFonts w:asciiTheme="minorHAnsi" w:eastAsiaTheme="minorEastAsia" w:hAnsiTheme="minorHAnsi" w:cs="Calibri"/>
          <w:color w:val="000000"/>
          <w:szCs w:val="20"/>
          <w:lang w:eastAsia="ja-JP"/>
        </w:rPr>
        <w:t xml:space="preserve"> Ni-Cr-prevleko (neodvisno od značilnosti materiala substrata) morajo biti v skladu s standardom EN 248.</w:t>
      </w:r>
    </w:p>
    <w:p w14:paraId="7467A40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70D3FD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2561EA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1CE2AB7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3ED8899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1423106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203992F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5BC6F89F"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val="sl" w:eastAsia="ja-JP"/>
        </w:rPr>
      </w:pPr>
      <w:r w:rsidRPr="00B2599A">
        <w:rPr>
          <w:rFonts w:asciiTheme="minorHAnsi" w:eastAsiaTheme="minorEastAsia" w:hAnsiTheme="minorHAnsi" w:cs="Calibri"/>
          <w:b/>
          <w:bCs/>
          <w:color w:val="000000"/>
          <w:szCs w:val="20"/>
          <w:lang w:val="sl" w:eastAsia="ja-JP"/>
        </w:rPr>
        <w:t>7.</w:t>
      </w:r>
      <w:r w:rsidRPr="00B2599A">
        <w:rPr>
          <w:rFonts w:asciiTheme="minorHAnsi" w:eastAsiaTheme="minorEastAsia" w:hAnsiTheme="minorHAnsi" w:cs="Calibri"/>
          <w:b/>
          <w:bCs/>
          <w:color w:val="000000"/>
          <w:szCs w:val="20"/>
          <w:lang w:val="sl" w:eastAsia="ja-JP"/>
        </w:rPr>
        <w:tab/>
        <w:t xml:space="preserve">Popravljivost in razpoložljivost rezervnih delov: </w:t>
      </w:r>
    </w:p>
    <w:p w14:paraId="7B3CDA2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val="sl" w:eastAsia="ja-JP"/>
        </w:rPr>
      </w:pPr>
      <w:r w:rsidRPr="00B2599A">
        <w:rPr>
          <w:rFonts w:asciiTheme="minorHAnsi" w:eastAsiaTheme="minorEastAsia" w:hAnsiTheme="minorHAnsi" w:cs="Calibri"/>
          <w:b/>
          <w:bCs/>
          <w:color w:val="000000"/>
          <w:szCs w:val="20"/>
          <w:lang w:val="sl" w:eastAsia="ja-JP"/>
        </w:rPr>
        <w:t>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14:paraId="6889132E" w14:textId="77777777" w:rsidR="00B2599A" w:rsidRPr="00B2599A" w:rsidRDefault="00B2599A" w:rsidP="00B2599A">
      <w:pPr>
        <w:spacing w:line="276" w:lineRule="auto"/>
        <w:jc w:val="both"/>
        <w:rPr>
          <w:rFonts w:asciiTheme="minorHAnsi" w:eastAsiaTheme="minorEastAsia" w:hAnsiTheme="minorHAnsi" w:cs="Calibri"/>
          <w:color w:val="000000"/>
          <w:szCs w:val="20"/>
          <w:lang w:val="sl" w:eastAsia="ja-JP"/>
        </w:rPr>
      </w:pPr>
    </w:p>
    <w:p w14:paraId="6DB1BAD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6593F2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38D91AA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7BE158A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0F13F264"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8.</w:t>
      </w:r>
      <w:r w:rsidRPr="00B2599A">
        <w:rPr>
          <w:rFonts w:asciiTheme="minorHAnsi" w:eastAsiaTheme="minorEastAsia" w:hAnsiTheme="minorHAnsi" w:cs="Calibri"/>
          <w:b/>
          <w:bCs/>
          <w:color w:val="000000"/>
          <w:szCs w:val="20"/>
          <w:lang w:eastAsia="ja-JP"/>
        </w:rPr>
        <w:tab/>
        <w:t xml:space="preserve">Garancija: </w:t>
      </w:r>
    </w:p>
    <w:p w14:paraId="0B469E74"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Ponudnik mora zagotoviti najmanj štiriletno garancijo za popravilo ali zamenjavo.</w:t>
      </w:r>
    </w:p>
    <w:p w14:paraId="2F397D7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B900AD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FFC993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7B98E36F" w14:textId="52188FC8" w:rsidR="00D3573E"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1D61E30D"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1CC176C5"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2F719795" w14:textId="51438829"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r>
        <w:rPr>
          <w:rFonts w:asciiTheme="minorHAnsi" w:eastAsiaTheme="minorEastAsia" w:hAnsiTheme="minorHAnsi" w:cs="Calibri"/>
          <w:b/>
          <w:bCs/>
          <w:color w:val="008080"/>
          <w:szCs w:val="20"/>
          <w:u w:val="single"/>
          <w:lang w:eastAsia="ja-JP"/>
        </w:rPr>
        <w:lastRenderedPageBreak/>
        <w:t>IZJAVA O STROKOVNEM IN USPOSOBLJENEM KADRU</w:t>
      </w:r>
    </w:p>
    <w:p w14:paraId="66D76D72"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147F5D45" w14:textId="4F719EE7" w:rsid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podpisom te izjave potrjujemo, da</w:t>
      </w:r>
      <w:r>
        <w:rPr>
          <w:rFonts w:asciiTheme="minorHAnsi" w:eastAsiaTheme="minorEastAsia" w:hAnsiTheme="minorHAnsi" w:cs="Calibri"/>
          <w:color w:val="000000"/>
          <w:szCs w:val="20"/>
          <w:lang w:eastAsia="ja-JP"/>
        </w:rPr>
        <w:t xml:space="preserve"> smo seznanjeni z zahtevami Uredbe o zelenem javnem naročanju tudi v delu, ki se nanaša na zahteve po strokovno usposobljenem in izkušenem kadru. Potrjujemo, da razpolagamo z zadostnim številom strokovno usposobljenih in izkušenih kadrov (npr. monterji) za izvedbo predmetov, ki so vključeni v ta obrazec. Na zahtevo naročnika bomo v fazi izvajanja pogodbe o izvedbi javnega naročila predložili seznam strokovno usposobljenega kadra ter potrdil o njihovi usposobljenosti oz. izkušnjah.</w:t>
      </w:r>
    </w:p>
    <w:p w14:paraId="29E4B90C" w14:textId="77777777" w:rsidR="00B2599A" w:rsidRDefault="00B2599A" w:rsidP="00B2599A">
      <w:pPr>
        <w:spacing w:line="276" w:lineRule="auto"/>
        <w:jc w:val="both"/>
        <w:rPr>
          <w:rFonts w:asciiTheme="minorHAnsi" w:eastAsiaTheme="minorEastAsia" w:hAnsiTheme="minorHAnsi" w:cs="Calibri"/>
          <w:color w:val="000000"/>
          <w:szCs w:val="20"/>
          <w:lang w:eastAsia="ja-JP"/>
        </w:rPr>
      </w:pPr>
    </w:p>
    <w:p w14:paraId="63774DBC" w14:textId="77777777" w:rsidR="00B2599A" w:rsidRDefault="00B2599A" w:rsidP="00B2599A">
      <w:pPr>
        <w:spacing w:line="276" w:lineRule="auto"/>
        <w:jc w:val="both"/>
        <w:rPr>
          <w:rFonts w:asciiTheme="minorHAnsi" w:eastAsiaTheme="minorEastAsia" w:hAnsiTheme="minorHAnsi" w:cs="Calibri"/>
          <w:color w:val="000000"/>
          <w:szCs w:val="20"/>
          <w:lang w:eastAsia="ja-JP"/>
        </w:rPr>
      </w:pPr>
    </w:p>
    <w:p w14:paraId="2FD4AE37"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5FF5F50E" w14:textId="77777777" w:rsidR="00B2599A" w:rsidRP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0F358990" w14:textId="77777777" w:rsidR="00AF49DD" w:rsidRPr="00B2599A" w:rsidRDefault="00AF49DD" w:rsidP="00AF49DD">
      <w:pPr>
        <w:spacing w:line="276" w:lineRule="auto"/>
        <w:ind w:left="5112"/>
        <w:jc w:val="both"/>
        <w:rPr>
          <w:rFonts w:asciiTheme="minorHAnsi" w:eastAsiaTheme="minorEastAsia" w:hAnsiTheme="minorHAnsi" w:cs="Calibri"/>
          <w:szCs w:val="20"/>
        </w:rPr>
      </w:pPr>
      <w:r w:rsidRPr="00B2599A">
        <w:rPr>
          <w:rFonts w:asciiTheme="minorHAnsi" w:eastAsiaTheme="minorEastAsia" w:hAnsiTheme="minorHAnsi" w:cs="Calibri"/>
          <w:szCs w:val="20"/>
        </w:rPr>
        <w:t>Žig in podpis ponudnika*:</w:t>
      </w:r>
    </w:p>
    <w:p w14:paraId="13EB18C8" w14:textId="77777777" w:rsidR="00AF49DD" w:rsidRPr="00B2599A" w:rsidRDefault="00AF49DD" w:rsidP="00AF49DD">
      <w:pPr>
        <w:spacing w:line="276" w:lineRule="auto"/>
        <w:ind w:left="5112"/>
        <w:jc w:val="both"/>
        <w:rPr>
          <w:rFonts w:asciiTheme="minorHAnsi" w:eastAsiaTheme="minorEastAsia" w:hAnsiTheme="minorHAnsi" w:cs="Calibri"/>
          <w:szCs w:val="20"/>
        </w:rPr>
      </w:pPr>
    </w:p>
    <w:p w14:paraId="3D225E5D" w14:textId="77777777" w:rsidR="00AF49DD" w:rsidRPr="00B2599A" w:rsidRDefault="00AF49DD" w:rsidP="00AF49DD">
      <w:pPr>
        <w:spacing w:line="276" w:lineRule="auto"/>
        <w:ind w:left="5112"/>
        <w:jc w:val="both"/>
        <w:rPr>
          <w:rFonts w:asciiTheme="minorHAnsi" w:eastAsiaTheme="minorEastAsia" w:hAnsiTheme="minorHAnsi" w:cs="Calibri"/>
          <w:szCs w:val="20"/>
        </w:rPr>
      </w:pPr>
    </w:p>
    <w:p w14:paraId="6A8AE7FB" w14:textId="77777777" w:rsidR="00AF49DD" w:rsidRPr="00B2599A" w:rsidRDefault="00AF49DD" w:rsidP="00AF49DD">
      <w:pPr>
        <w:spacing w:line="276" w:lineRule="auto"/>
        <w:ind w:left="5112"/>
        <w:jc w:val="both"/>
        <w:rPr>
          <w:rFonts w:asciiTheme="minorHAnsi" w:eastAsiaTheme="minorEastAsia" w:hAnsiTheme="minorHAnsi" w:cs="Calibri"/>
          <w:szCs w:val="20"/>
        </w:rPr>
      </w:pPr>
      <w:r w:rsidRPr="00B2599A">
        <w:rPr>
          <w:rFonts w:asciiTheme="minorHAnsi" w:eastAsiaTheme="minorEastAsia" w:hAnsiTheme="minorHAnsi" w:cs="Calibri"/>
          <w:szCs w:val="20"/>
        </w:rPr>
        <w:t>________________________</w:t>
      </w:r>
    </w:p>
    <w:p w14:paraId="5DBD74BA" w14:textId="504E014B" w:rsidR="00B24B4F" w:rsidRPr="00B2599A" w:rsidRDefault="00AF49DD" w:rsidP="00B2599A">
      <w:pPr>
        <w:spacing w:line="276" w:lineRule="auto"/>
        <w:ind w:left="5112"/>
        <w:rPr>
          <w:rFonts w:asciiTheme="minorHAnsi" w:eastAsiaTheme="minorEastAsia" w:hAnsiTheme="minorHAnsi" w:cs="Calibri"/>
          <w:color w:val="7F7F7F" w:themeColor="text1" w:themeTint="80"/>
          <w:szCs w:val="20"/>
        </w:rPr>
      </w:pPr>
      <w:r w:rsidRPr="00B2599A">
        <w:rPr>
          <w:rFonts w:asciiTheme="minorHAnsi" w:eastAsiaTheme="minorEastAsia" w:hAnsiTheme="minorHAnsi" w:cs="Calibri"/>
          <w:color w:val="7F7F7F" w:themeColor="text1" w:themeTint="80"/>
          <w:szCs w:val="20"/>
        </w:rPr>
        <w:t>* V primeru kvalificiranega elektronskega podpisa, žig ni potreben.</w:t>
      </w:r>
    </w:p>
    <w:sectPr w:rsidR="00B24B4F" w:rsidRPr="00B2599A" w:rsidSect="002C7511">
      <w:headerReference w:type="first" r:id="rId9"/>
      <w:pgSz w:w="11900" w:h="16840"/>
      <w:pgMar w:top="1417" w:right="1417" w:bottom="141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1758" w14:textId="77777777" w:rsidR="002C7511" w:rsidRDefault="002C7511" w:rsidP="00067AAF">
      <w:r>
        <w:separator/>
      </w:r>
    </w:p>
  </w:endnote>
  <w:endnote w:type="continuationSeparator" w:id="0">
    <w:p w14:paraId="2021756C" w14:textId="77777777" w:rsidR="002C7511" w:rsidRDefault="002C751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C8CDC" w14:textId="77777777" w:rsidR="002C7511" w:rsidRDefault="002C7511" w:rsidP="00067AAF">
      <w:r>
        <w:separator/>
      </w:r>
    </w:p>
  </w:footnote>
  <w:footnote w:type="continuationSeparator" w:id="0">
    <w:p w14:paraId="7235FB6B" w14:textId="77777777" w:rsidR="002C7511" w:rsidRDefault="002C7511" w:rsidP="00067AAF">
      <w:r>
        <w:continuationSeparator/>
      </w:r>
    </w:p>
  </w:footnote>
  <w:footnote w:id="1">
    <w:p w14:paraId="0773D4FE"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Pipe se lahko dobavijo z omejevalnikom pretoka ali brez njega. Maksimalni pretok vode je odvisen od prisotnosti ali odsotnosti take naprave.</w:t>
      </w:r>
    </w:p>
  </w:footnote>
  <w:footnote w:id="2">
    <w:p w14:paraId="01BED6D0"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Omejevalnik pretoka mora omogočati nastavitev privzetega pretoka vode (nastavitev za varčevanje z vodo) z vrednostjo največ 6 l/min. Maksimalni pretok vode ne presega 8 l/min.</w:t>
      </w:r>
    </w:p>
  </w:footnote>
  <w:footnote w:id="3">
    <w:p w14:paraId="1143A86E"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Pipe se lahko dobavijo z omejevalnikom pretoka ali brez njega. Maksimalni pretok vode je odvisen od prisotnosti ali odsotnosti take naprave.</w:t>
      </w:r>
    </w:p>
  </w:footnote>
  <w:footnote w:id="4">
    <w:p w14:paraId="6BA146A6"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Omejevalnik pretoka mora omogočati nastavitev privzetega pretoka vode (nastavitev za varčevanje z vodo) z vrednostjo največ 6 l/min. Maksimalni pretok vode ne presega 8 l/min.</w:t>
      </w:r>
    </w:p>
  </w:footnote>
  <w:footnote w:id="5">
    <w:p w14:paraId="2520321C" w14:textId="77777777" w:rsidR="00B2599A" w:rsidRPr="00361726" w:rsidRDefault="00B2599A" w:rsidP="00B2599A">
      <w:pPr>
        <w:pStyle w:val="Sprotnaopomba-besedilo"/>
        <w:rPr>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Pršne glave ali prhe z več kot eno vrsto pršenja izpolnjujejo zahteve za nastavitev najvišjega pretoka vode.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B6FCA" w14:textId="6B234962" w:rsidR="00B514DF" w:rsidRPr="00C27C41" w:rsidRDefault="009B1152" w:rsidP="009B1152">
    <w:pPr>
      <w:pStyle w:val="Glava"/>
      <w:tabs>
        <w:tab w:val="center" w:pos="4962"/>
        <w:tab w:val="right" w:pos="9781"/>
      </w:tabs>
      <w:ind w:right="57"/>
      <w:jc w:val="center"/>
      <w:rPr>
        <w:rFonts w:asciiTheme="minorHAnsi" w:hAnsiTheme="minorHAnsi"/>
        <w:color w:val="008080"/>
      </w:rPr>
    </w:pPr>
    <w:r w:rsidRPr="00C27C41">
      <w:rPr>
        <w:rFonts w:asciiTheme="minorHAnsi" w:hAnsiTheme="minorHAnsi"/>
        <w:color w:val="008080"/>
      </w:rPr>
      <w:t>Obr</w:t>
    </w:r>
    <w:r>
      <w:rPr>
        <w:rFonts w:asciiTheme="minorHAnsi" w:hAnsiTheme="minorHAnsi"/>
        <w:color w:val="008080"/>
      </w:rPr>
      <w:t>. I</w:t>
    </w:r>
    <w:r w:rsidRPr="00C27C41">
      <w:rPr>
        <w:rFonts w:asciiTheme="minorHAnsi" w:hAnsiTheme="minorHAnsi"/>
        <w:color w:val="008080"/>
      </w:rPr>
      <w:t xml:space="preserve">zjava o skladnosti z </w:t>
    </w:r>
    <w:r w:rsidR="00F97ADE" w:rsidRPr="00C27C41">
      <w:rPr>
        <w:rFonts w:asciiTheme="minorHAnsi" w:hAnsiTheme="minorHAnsi"/>
        <w:color w:val="008080"/>
      </w:rPr>
      <w:t>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45F45"/>
    <w:multiLevelType w:val="hybridMultilevel"/>
    <w:tmpl w:val="565EA982"/>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EF"/>
    <w:multiLevelType w:val="hybridMultilevel"/>
    <w:tmpl w:val="1AA237B0"/>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70C06"/>
    <w:multiLevelType w:val="hybridMultilevel"/>
    <w:tmpl w:val="08C4862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26B53"/>
    <w:multiLevelType w:val="hybridMultilevel"/>
    <w:tmpl w:val="5D2E439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A974B0"/>
    <w:multiLevelType w:val="hybridMultilevel"/>
    <w:tmpl w:val="D000411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266CB7"/>
    <w:multiLevelType w:val="hybridMultilevel"/>
    <w:tmpl w:val="E37A535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10137"/>
    <w:multiLevelType w:val="hybridMultilevel"/>
    <w:tmpl w:val="2BFAA4D4"/>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3D4C20"/>
    <w:multiLevelType w:val="hybridMultilevel"/>
    <w:tmpl w:val="74C4077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21112"/>
    <w:multiLevelType w:val="hybridMultilevel"/>
    <w:tmpl w:val="1A86EFD0"/>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8E34D7"/>
    <w:multiLevelType w:val="hybridMultilevel"/>
    <w:tmpl w:val="8FA6490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9CF03AF"/>
    <w:multiLevelType w:val="hybridMultilevel"/>
    <w:tmpl w:val="0DAAAAA2"/>
    <w:lvl w:ilvl="0" w:tplc="63984B6E">
      <w:numFmt w:val="bullet"/>
      <w:lvlText w:val="–"/>
      <w:lvlJc w:val="left"/>
      <w:pPr>
        <w:ind w:left="644" w:hanging="360"/>
      </w:pPr>
      <w:rPr>
        <w:rFonts w:ascii="Trebuchet MS" w:eastAsiaTheme="minorEastAsia" w:hAnsi="Trebuchet M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A150914"/>
    <w:multiLevelType w:val="hybridMultilevel"/>
    <w:tmpl w:val="F636FA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613A7A"/>
    <w:multiLevelType w:val="hybridMultilevel"/>
    <w:tmpl w:val="484C0C0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F8580D"/>
    <w:multiLevelType w:val="hybridMultilevel"/>
    <w:tmpl w:val="817E6864"/>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C2B45CB"/>
    <w:multiLevelType w:val="multilevel"/>
    <w:tmpl w:val="629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A3570E"/>
    <w:multiLevelType w:val="hybridMultilevel"/>
    <w:tmpl w:val="E0CEBFBC"/>
    <w:lvl w:ilvl="0" w:tplc="F580E05A">
      <w:start w:val="12"/>
      <w:numFmt w:val="bullet"/>
      <w:lvlText w:val="-"/>
      <w:lvlJc w:val="left"/>
      <w:pPr>
        <w:ind w:left="1080" w:hanging="360"/>
      </w:pPr>
      <w:rPr>
        <w:rFonts w:ascii="Trebuchet MS" w:eastAsiaTheme="minorEastAsia"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924DB1"/>
    <w:multiLevelType w:val="hybridMultilevel"/>
    <w:tmpl w:val="831064FE"/>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ED0FAC"/>
    <w:multiLevelType w:val="hybridMultilevel"/>
    <w:tmpl w:val="B66256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15:restartNumberingAfterBreak="0">
    <w:nsid w:val="6072339E"/>
    <w:multiLevelType w:val="hybridMultilevel"/>
    <w:tmpl w:val="CC2A05E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B8B0240"/>
    <w:multiLevelType w:val="hybridMultilevel"/>
    <w:tmpl w:val="07A25484"/>
    <w:lvl w:ilvl="0" w:tplc="F580E05A">
      <w:start w:val="12"/>
      <w:numFmt w:val="bullet"/>
      <w:lvlText w:val="-"/>
      <w:lvlJc w:val="left"/>
      <w:pPr>
        <w:ind w:left="720" w:hanging="360"/>
      </w:pPr>
      <w:rPr>
        <w:rFonts w:ascii="Trebuchet MS" w:eastAsia="MS ??" w:hAnsi="Trebuchet MS" w:hint="default"/>
      </w:rPr>
    </w:lvl>
    <w:lvl w:ilvl="1" w:tplc="5C362000">
      <w:start w:val="3"/>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C11940"/>
    <w:multiLevelType w:val="multilevel"/>
    <w:tmpl w:val="ACDA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5A752B"/>
    <w:multiLevelType w:val="hybridMultilevel"/>
    <w:tmpl w:val="72F8F28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CEA2312"/>
    <w:multiLevelType w:val="hybridMultilevel"/>
    <w:tmpl w:val="54F8348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AC3059"/>
    <w:multiLevelType w:val="hybridMultilevel"/>
    <w:tmpl w:val="25F0CA1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47D7F"/>
    <w:multiLevelType w:val="hybridMultilevel"/>
    <w:tmpl w:val="AD204D3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2C2DB0"/>
    <w:multiLevelType w:val="hybridMultilevel"/>
    <w:tmpl w:val="F1FE28A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58172B"/>
    <w:multiLevelType w:val="hybridMultilevel"/>
    <w:tmpl w:val="A5E0277C"/>
    <w:lvl w:ilvl="0" w:tplc="83724684">
      <w:numFmt w:val="bullet"/>
      <w:lvlText w:val="–"/>
      <w:lvlJc w:val="left"/>
      <w:pPr>
        <w:ind w:left="720" w:hanging="360"/>
      </w:pPr>
      <w:rPr>
        <w:rFonts w:ascii="Cambria" w:eastAsiaTheme="minorEastAsia"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DFD386E"/>
    <w:multiLevelType w:val="hybridMultilevel"/>
    <w:tmpl w:val="2254361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816B74"/>
    <w:multiLevelType w:val="hybridMultilevel"/>
    <w:tmpl w:val="B66256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F814D97"/>
    <w:multiLevelType w:val="hybridMultilevel"/>
    <w:tmpl w:val="40B847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E835E4"/>
    <w:multiLevelType w:val="hybridMultilevel"/>
    <w:tmpl w:val="4B74325C"/>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0058538">
    <w:abstractNumId w:val="1"/>
  </w:num>
  <w:num w:numId="2" w16cid:durableId="679699251">
    <w:abstractNumId w:val="20"/>
  </w:num>
  <w:num w:numId="3" w16cid:durableId="885067150">
    <w:abstractNumId w:val="22"/>
  </w:num>
  <w:num w:numId="4" w16cid:durableId="848911521">
    <w:abstractNumId w:val="8"/>
  </w:num>
  <w:num w:numId="5" w16cid:durableId="1730110739">
    <w:abstractNumId w:val="21"/>
  </w:num>
  <w:num w:numId="6" w16cid:durableId="2133401855">
    <w:abstractNumId w:val="11"/>
  </w:num>
  <w:num w:numId="7" w16cid:durableId="1053845565">
    <w:abstractNumId w:val="7"/>
  </w:num>
  <w:num w:numId="8" w16cid:durableId="385228564">
    <w:abstractNumId w:val="5"/>
  </w:num>
  <w:num w:numId="9" w16cid:durableId="1026055703">
    <w:abstractNumId w:val="17"/>
  </w:num>
  <w:num w:numId="10" w16cid:durableId="1461606676">
    <w:abstractNumId w:val="27"/>
  </w:num>
  <w:num w:numId="11" w16cid:durableId="524900438">
    <w:abstractNumId w:val="28"/>
  </w:num>
  <w:num w:numId="12" w16cid:durableId="1108544796">
    <w:abstractNumId w:val="4"/>
  </w:num>
  <w:num w:numId="13" w16cid:durableId="1887453254">
    <w:abstractNumId w:val="29"/>
  </w:num>
  <w:num w:numId="14" w16cid:durableId="1731922041">
    <w:abstractNumId w:val="33"/>
  </w:num>
  <w:num w:numId="15" w16cid:durableId="1613320995">
    <w:abstractNumId w:val="14"/>
  </w:num>
  <w:num w:numId="16" w16cid:durableId="837355114">
    <w:abstractNumId w:val="18"/>
  </w:num>
  <w:num w:numId="17" w16cid:durableId="251940149">
    <w:abstractNumId w:val="26"/>
  </w:num>
  <w:num w:numId="18" w16cid:durableId="604578541">
    <w:abstractNumId w:val="3"/>
  </w:num>
  <w:num w:numId="19" w16cid:durableId="1064841865">
    <w:abstractNumId w:val="12"/>
  </w:num>
  <w:num w:numId="20" w16cid:durableId="30038460">
    <w:abstractNumId w:val="2"/>
  </w:num>
  <w:num w:numId="21" w16cid:durableId="1259633359">
    <w:abstractNumId w:val="9"/>
  </w:num>
  <w:num w:numId="22" w16cid:durableId="1256598900">
    <w:abstractNumId w:val="36"/>
  </w:num>
  <w:num w:numId="23" w16cid:durableId="933854020">
    <w:abstractNumId w:val="15"/>
  </w:num>
  <w:num w:numId="24" w16cid:durableId="1846895670">
    <w:abstractNumId w:val="0"/>
  </w:num>
  <w:num w:numId="25" w16cid:durableId="806121380">
    <w:abstractNumId w:val="25"/>
  </w:num>
  <w:num w:numId="26" w16cid:durableId="2119323850">
    <w:abstractNumId w:val="16"/>
  </w:num>
  <w:num w:numId="27" w16cid:durableId="20003063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3085693">
    <w:abstractNumId w:val="32"/>
  </w:num>
  <w:num w:numId="29" w16cid:durableId="582766244">
    <w:abstractNumId w:val="23"/>
  </w:num>
  <w:num w:numId="30" w16cid:durableId="1541161380">
    <w:abstractNumId w:val="30"/>
  </w:num>
  <w:num w:numId="31" w16cid:durableId="1878158250">
    <w:abstractNumId w:val="6"/>
  </w:num>
  <w:num w:numId="32" w16cid:durableId="385033527">
    <w:abstractNumId w:val="34"/>
  </w:num>
  <w:num w:numId="33" w16cid:durableId="515850401">
    <w:abstractNumId w:val="10"/>
  </w:num>
  <w:num w:numId="34" w16cid:durableId="537477305">
    <w:abstractNumId w:val="31"/>
  </w:num>
  <w:num w:numId="35" w16cid:durableId="146367271">
    <w:abstractNumId w:val="35"/>
  </w:num>
  <w:num w:numId="36" w16cid:durableId="1806583972">
    <w:abstractNumId w:val="19"/>
  </w:num>
  <w:num w:numId="37" w16cid:durableId="458572668">
    <w:abstractNumId w:val="13"/>
  </w:num>
  <w:num w:numId="38" w16cid:durableId="81206315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961"/>
    <w:rsid w:val="00015AAF"/>
    <w:rsid w:val="000167AB"/>
    <w:rsid w:val="000368F2"/>
    <w:rsid w:val="00052455"/>
    <w:rsid w:val="00055379"/>
    <w:rsid w:val="00067AAF"/>
    <w:rsid w:val="00085151"/>
    <w:rsid w:val="000A340A"/>
    <w:rsid w:val="000C06DF"/>
    <w:rsid w:val="000C3C8A"/>
    <w:rsid w:val="000C7C6C"/>
    <w:rsid w:val="000D0FA2"/>
    <w:rsid w:val="000D6536"/>
    <w:rsid w:val="000D6A08"/>
    <w:rsid w:val="000E329E"/>
    <w:rsid w:val="00100B2E"/>
    <w:rsid w:val="00104392"/>
    <w:rsid w:val="00120A7F"/>
    <w:rsid w:val="001400DC"/>
    <w:rsid w:val="00162193"/>
    <w:rsid w:val="00173077"/>
    <w:rsid w:val="00173C47"/>
    <w:rsid w:val="00180DAC"/>
    <w:rsid w:val="001847D4"/>
    <w:rsid w:val="00186848"/>
    <w:rsid w:val="00193FF1"/>
    <w:rsid w:val="001A1011"/>
    <w:rsid w:val="001C70D7"/>
    <w:rsid w:val="001D2707"/>
    <w:rsid w:val="001F4E65"/>
    <w:rsid w:val="00214E44"/>
    <w:rsid w:val="00231A27"/>
    <w:rsid w:val="00234DE1"/>
    <w:rsid w:val="00243D66"/>
    <w:rsid w:val="00251856"/>
    <w:rsid w:val="00256613"/>
    <w:rsid w:val="002841A2"/>
    <w:rsid w:val="00290C86"/>
    <w:rsid w:val="0029519C"/>
    <w:rsid w:val="002A156A"/>
    <w:rsid w:val="002A34DB"/>
    <w:rsid w:val="002B0F94"/>
    <w:rsid w:val="002B2570"/>
    <w:rsid w:val="002B6C31"/>
    <w:rsid w:val="002C7511"/>
    <w:rsid w:val="002F4A37"/>
    <w:rsid w:val="002F7C2D"/>
    <w:rsid w:val="00303B21"/>
    <w:rsid w:val="00316D09"/>
    <w:rsid w:val="00333F78"/>
    <w:rsid w:val="0035141C"/>
    <w:rsid w:val="00353FA7"/>
    <w:rsid w:val="003669DC"/>
    <w:rsid w:val="003840B9"/>
    <w:rsid w:val="003956D4"/>
    <w:rsid w:val="003A01E2"/>
    <w:rsid w:val="003A5E99"/>
    <w:rsid w:val="003B4049"/>
    <w:rsid w:val="003C5C1C"/>
    <w:rsid w:val="003D3473"/>
    <w:rsid w:val="00403F99"/>
    <w:rsid w:val="004166B0"/>
    <w:rsid w:val="00427799"/>
    <w:rsid w:val="00440206"/>
    <w:rsid w:val="00447597"/>
    <w:rsid w:val="00450E16"/>
    <w:rsid w:val="00473A7C"/>
    <w:rsid w:val="004740E3"/>
    <w:rsid w:val="004820ED"/>
    <w:rsid w:val="00486711"/>
    <w:rsid w:val="004C3D9A"/>
    <w:rsid w:val="004D0779"/>
    <w:rsid w:val="004D7ABF"/>
    <w:rsid w:val="004F7A3A"/>
    <w:rsid w:val="005125B2"/>
    <w:rsid w:val="005157EF"/>
    <w:rsid w:val="00515FFA"/>
    <w:rsid w:val="00523BAE"/>
    <w:rsid w:val="00526538"/>
    <w:rsid w:val="00527E83"/>
    <w:rsid w:val="0053376A"/>
    <w:rsid w:val="00537059"/>
    <w:rsid w:val="0055411E"/>
    <w:rsid w:val="0058161F"/>
    <w:rsid w:val="00581BAB"/>
    <w:rsid w:val="00586FC5"/>
    <w:rsid w:val="005B5365"/>
    <w:rsid w:val="005C1B45"/>
    <w:rsid w:val="005C3EDD"/>
    <w:rsid w:val="005F31EC"/>
    <w:rsid w:val="005F382A"/>
    <w:rsid w:val="006004EC"/>
    <w:rsid w:val="0062304C"/>
    <w:rsid w:val="00632201"/>
    <w:rsid w:val="0063578C"/>
    <w:rsid w:val="00642FA5"/>
    <w:rsid w:val="0066339E"/>
    <w:rsid w:val="00680CE1"/>
    <w:rsid w:val="00683149"/>
    <w:rsid w:val="00693F49"/>
    <w:rsid w:val="006A5374"/>
    <w:rsid w:val="006A7F94"/>
    <w:rsid w:val="006B3FE5"/>
    <w:rsid w:val="006C7911"/>
    <w:rsid w:val="006D2BAA"/>
    <w:rsid w:val="006F2709"/>
    <w:rsid w:val="0070306B"/>
    <w:rsid w:val="00705E93"/>
    <w:rsid w:val="00717F44"/>
    <w:rsid w:val="00726316"/>
    <w:rsid w:val="007456F4"/>
    <w:rsid w:val="00747B1B"/>
    <w:rsid w:val="00753A04"/>
    <w:rsid w:val="00767FF4"/>
    <w:rsid w:val="0077437D"/>
    <w:rsid w:val="00787FC0"/>
    <w:rsid w:val="007903F1"/>
    <w:rsid w:val="007A4A7F"/>
    <w:rsid w:val="007A78FF"/>
    <w:rsid w:val="007D0451"/>
    <w:rsid w:val="007D373C"/>
    <w:rsid w:val="007D4582"/>
    <w:rsid w:val="007D56FF"/>
    <w:rsid w:val="008137C5"/>
    <w:rsid w:val="008307D0"/>
    <w:rsid w:val="00833A51"/>
    <w:rsid w:val="008515DC"/>
    <w:rsid w:val="0088367B"/>
    <w:rsid w:val="008844BC"/>
    <w:rsid w:val="0088752D"/>
    <w:rsid w:val="00894190"/>
    <w:rsid w:val="008C28FC"/>
    <w:rsid w:val="008C31B4"/>
    <w:rsid w:val="008C4BE4"/>
    <w:rsid w:val="008D7BEF"/>
    <w:rsid w:val="008F0289"/>
    <w:rsid w:val="008F24F0"/>
    <w:rsid w:val="00915EBF"/>
    <w:rsid w:val="009234FF"/>
    <w:rsid w:val="0092709C"/>
    <w:rsid w:val="00930F7B"/>
    <w:rsid w:val="009433AD"/>
    <w:rsid w:val="0094435A"/>
    <w:rsid w:val="00945E61"/>
    <w:rsid w:val="00946EF2"/>
    <w:rsid w:val="00952969"/>
    <w:rsid w:val="0097368B"/>
    <w:rsid w:val="009B1152"/>
    <w:rsid w:val="009B7F26"/>
    <w:rsid w:val="00A21E52"/>
    <w:rsid w:val="00A23AB5"/>
    <w:rsid w:val="00A23E56"/>
    <w:rsid w:val="00A2694D"/>
    <w:rsid w:val="00A40C44"/>
    <w:rsid w:val="00A42A9A"/>
    <w:rsid w:val="00A42DA5"/>
    <w:rsid w:val="00A5058D"/>
    <w:rsid w:val="00A57C94"/>
    <w:rsid w:val="00A62CB8"/>
    <w:rsid w:val="00AA385E"/>
    <w:rsid w:val="00AC6F08"/>
    <w:rsid w:val="00AF49DD"/>
    <w:rsid w:val="00AF7C21"/>
    <w:rsid w:val="00B07A42"/>
    <w:rsid w:val="00B11B28"/>
    <w:rsid w:val="00B24B4F"/>
    <w:rsid w:val="00B2599A"/>
    <w:rsid w:val="00B514DF"/>
    <w:rsid w:val="00B53AE7"/>
    <w:rsid w:val="00B874EE"/>
    <w:rsid w:val="00B90E8A"/>
    <w:rsid w:val="00B919BB"/>
    <w:rsid w:val="00B95E1B"/>
    <w:rsid w:val="00B9777E"/>
    <w:rsid w:val="00BA34F7"/>
    <w:rsid w:val="00BB6764"/>
    <w:rsid w:val="00BC7F80"/>
    <w:rsid w:val="00BD737B"/>
    <w:rsid w:val="00BE7471"/>
    <w:rsid w:val="00BF6127"/>
    <w:rsid w:val="00C075A7"/>
    <w:rsid w:val="00C11600"/>
    <w:rsid w:val="00C27C41"/>
    <w:rsid w:val="00C43AD5"/>
    <w:rsid w:val="00C50F0B"/>
    <w:rsid w:val="00C64FA2"/>
    <w:rsid w:val="00C779BE"/>
    <w:rsid w:val="00C834BC"/>
    <w:rsid w:val="00C83DDF"/>
    <w:rsid w:val="00CA50DE"/>
    <w:rsid w:val="00CD352A"/>
    <w:rsid w:val="00CE5942"/>
    <w:rsid w:val="00CF2BA9"/>
    <w:rsid w:val="00D156A1"/>
    <w:rsid w:val="00D207B7"/>
    <w:rsid w:val="00D22E21"/>
    <w:rsid w:val="00D30F1F"/>
    <w:rsid w:val="00D3573E"/>
    <w:rsid w:val="00D439EE"/>
    <w:rsid w:val="00D56FF0"/>
    <w:rsid w:val="00D630E2"/>
    <w:rsid w:val="00D643AA"/>
    <w:rsid w:val="00D660F6"/>
    <w:rsid w:val="00D74B92"/>
    <w:rsid w:val="00D95E0B"/>
    <w:rsid w:val="00DE07A0"/>
    <w:rsid w:val="00E065C9"/>
    <w:rsid w:val="00E2349E"/>
    <w:rsid w:val="00E2498A"/>
    <w:rsid w:val="00E55538"/>
    <w:rsid w:val="00E61BAD"/>
    <w:rsid w:val="00E673C9"/>
    <w:rsid w:val="00E67E6D"/>
    <w:rsid w:val="00E804DB"/>
    <w:rsid w:val="00E86603"/>
    <w:rsid w:val="00E925C5"/>
    <w:rsid w:val="00EA245D"/>
    <w:rsid w:val="00EA3CB3"/>
    <w:rsid w:val="00EA6944"/>
    <w:rsid w:val="00EA7308"/>
    <w:rsid w:val="00EA78C9"/>
    <w:rsid w:val="00EB188E"/>
    <w:rsid w:val="00EC34C6"/>
    <w:rsid w:val="00EC411B"/>
    <w:rsid w:val="00EC5C5E"/>
    <w:rsid w:val="00ED0EFA"/>
    <w:rsid w:val="00EF12DE"/>
    <w:rsid w:val="00EF2626"/>
    <w:rsid w:val="00EF3A98"/>
    <w:rsid w:val="00F11D6C"/>
    <w:rsid w:val="00F11FB4"/>
    <w:rsid w:val="00F202FA"/>
    <w:rsid w:val="00F37927"/>
    <w:rsid w:val="00F4519F"/>
    <w:rsid w:val="00F515E9"/>
    <w:rsid w:val="00F725B0"/>
    <w:rsid w:val="00F9065E"/>
    <w:rsid w:val="00F952EF"/>
    <w:rsid w:val="00F97ADE"/>
    <w:rsid w:val="00FA0886"/>
    <w:rsid w:val="00FA0C71"/>
    <w:rsid w:val="00FB4A9C"/>
    <w:rsid w:val="00FE0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D207B7"/>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 w:type="paragraph" w:customStyle="1" w:styleId="TableParagraph">
    <w:name w:val="Table Paragraph"/>
    <w:basedOn w:val="Navaden"/>
    <w:uiPriority w:val="1"/>
    <w:qFormat/>
    <w:rsid w:val="009B1152"/>
    <w:pPr>
      <w:widowControl w:val="0"/>
      <w:ind w:left="103"/>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24955">
      <w:bodyDiv w:val="1"/>
      <w:marLeft w:val="0"/>
      <w:marRight w:val="0"/>
      <w:marTop w:val="0"/>
      <w:marBottom w:val="0"/>
      <w:divBdr>
        <w:top w:val="none" w:sz="0" w:space="0" w:color="auto"/>
        <w:left w:val="none" w:sz="0" w:space="0" w:color="auto"/>
        <w:bottom w:val="none" w:sz="0" w:space="0" w:color="auto"/>
        <w:right w:val="none" w:sz="0" w:space="0" w:color="auto"/>
      </w:divBdr>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1036">
      <w:bodyDiv w:val="1"/>
      <w:marLeft w:val="0"/>
      <w:marRight w:val="0"/>
      <w:marTop w:val="0"/>
      <w:marBottom w:val="0"/>
      <w:divBdr>
        <w:top w:val="none" w:sz="0" w:space="0" w:color="auto"/>
        <w:left w:val="none" w:sz="0" w:space="0" w:color="auto"/>
        <w:bottom w:val="none" w:sz="0" w:space="0" w:color="auto"/>
        <w:right w:val="none" w:sz="0" w:space="0" w:color="auto"/>
      </w:divBdr>
    </w:div>
    <w:div w:id="158428654">
      <w:bodyDiv w:val="1"/>
      <w:marLeft w:val="0"/>
      <w:marRight w:val="0"/>
      <w:marTop w:val="0"/>
      <w:marBottom w:val="0"/>
      <w:divBdr>
        <w:top w:val="none" w:sz="0" w:space="0" w:color="auto"/>
        <w:left w:val="none" w:sz="0" w:space="0" w:color="auto"/>
        <w:bottom w:val="none" w:sz="0" w:space="0" w:color="auto"/>
        <w:right w:val="none" w:sz="0" w:space="0" w:color="auto"/>
      </w:divBdr>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5680</Words>
  <Characters>32380</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nina pekolj</cp:lastModifiedBy>
  <cp:revision>11</cp:revision>
  <dcterms:created xsi:type="dcterms:W3CDTF">2024-04-02T11:06:00Z</dcterms:created>
  <dcterms:modified xsi:type="dcterms:W3CDTF">2025-03-28T10:58:00Z</dcterms:modified>
  <cp:category/>
</cp:coreProperties>
</file>